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B71A4" w:rsidP="00364C35" w:rsidRDefault="003E5198" w14:paraId="1F3638A3" w14:textId="469210C9">
      <w:pPr>
        <w:jc w:val="center"/>
      </w:pPr>
      <w:r>
        <w:rPr>
          <w:noProof/>
        </w:rPr>
        <w:drawing>
          <wp:inline distT="0" distB="0" distL="0" distR="0" wp14:anchorId="4F8E4F75" wp14:editId="6C9AD1C6">
            <wp:extent cx="4124325" cy="361209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9" cy="36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F0" w:rsidP="00093EF0" w:rsidRDefault="00093EF0" w14:paraId="1A88BBAD" w14:textId="0A94AE0C"/>
    <w:p w:rsidRPr="00093EF0" w:rsidR="005B71A4" w:rsidP="00EB299E" w:rsidRDefault="00EE24DC" w14:paraId="7BBFDA2B" w14:textId="3BC09735">
      <w:pPr>
        <w:pStyle w:val="Title"/>
      </w:pPr>
      <w:r>
        <w:t xml:space="preserve">Conflicts of Interest Policy for Trustees </w:t>
      </w:r>
    </w:p>
    <w:p w:rsidR="00093EF0" w:rsidP="00093EF0" w:rsidRDefault="00093EF0" w14:paraId="0468BFC7" w14:textId="4191F282"/>
    <w:p w:rsidRPr="00093EF0" w:rsidR="005B71A4" w:rsidP="00EB299E" w:rsidRDefault="00093EF0" w14:paraId="02590C63" w14:textId="12A94FD8">
      <w:pPr>
        <w:pStyle w:val="Subtitle"/>
      </w:pPr>
      <w:r w:rsidRPr="00093EF0">
        <w:t>Policy Details</w:t>
      </w: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2409"/>
        <w:gridCol w:w="6607"/>
      </w:tblGrid>
      <w:tr w:rsidR="00DF396A" w:rsidTr="327C719B" w14:paraId="696AB5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Mar/>
          </w:tcPr>
          <w:p w:rsidRPr="009176B7" w:rsidR="005B71A4" w:rsidP="005B71A4" w:rsidRDefault="005B71A4" w14:paraId="0898C989" w14:textId="01F9108A">
            <w:pPr>
              <w:pStyle w:val="NoSpacing"/>
              <w:jc w:val="left"/>
              <w:rPr>
                <w:szCs w:val="32"/>
              </w:rPr>
            </w:pPr>
            <w:r w:rsidRPr="009176B7">
              <w:rPr>
                <w:szCs w:val="32"/>
              </w:rPr>
              <w:t>Policy Level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07" w:type="dxa"/>
            <w:tcMar/>
          </w:tcPr>
          <w:p w:rsidRPr="009176B7" w:rsidR="005B71A4" w:rsidP="005B71A4" w:rsidRDefault="005B71A4" w14:paraId="687847E3" w14:textId="64679E9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 w:rsidRPr="009176B7">
              <w:rPr>
                <w:szCs w:val="32"/>
              </w:rPr>
              <w:t>Trust</w:t>
            </w:r>
          </w:p>
        </w:tc>
      </w:tr>
      <w:tr w:rsidR="00093EF0" w:rsidTr="327C719B" w14:paraId="711596F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Mar/>
          </w:tcPr>
          <w:p w:rsidRPr="009176B7" w:rsidR="00093EF0" w:rsidP="005B71A4" w:rsidRDefault="00093EF0" w14:paraId="50BFED4B" w14:textId="1560FA36">
            <w:pPr>
              <w:pStyle w:val="NoSpacing"/>
              <w:jc w:val="left"/>
              <w:rPr>
                <w:szCs w:val="32"/>
              </w:rPr>
            </w:pPr>
            <w:r w:rsidRPr="009176B7">
              <w:rPr>
                <w:szCs w:val="32"/>
              </w:rPr>
              <w:t>Document Approver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07" w:type="dxa"/>
            <w:tcMar/>
          </w:tcPr>
          <w:p w:rsidRPr="009176B7" w:rsidR="00093EF0" w:rsidP="005B71A4" w:rsidRDefault="00093EF0" w14:paraId="6DFF2AB0" w14:textId="7AFCA73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  <w:r w:rsidRPr="009176B7">
              <w:rPr>
                <w:szCs w:val="32"/>
              </w:rPr>
              <w:t>Trust Board</w:t>
            </w:r>
          </w:p>
        </w:tc>
      </w:tr>
      <w:tr w:rsidR="00E175EC" w:rsidTr="327C719B" w14:paraId="619E83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Mar/>
          </w:tcPr>
          <w:p w:rsidRPr="009176B7" w:rsidR="00E175EC" w:rsidP="005B71A4" w:rsidRDefault="00E175EC" w14:paraId="71790F10" w14:textId="616D6A60">
            <w:pPr>
              <w:pStyle w:val="NoSpacing"/>
              <w:jc w:val="left"/>
              <w:rPr>
                <w:szCs w:val="32"/>
              </w:rPr>
            </w:pPr>
            <w:r w:rsidRPr="009176B7">
              <w:rPr>
                <w:szCs w:val="32"/>
              </w:rPr>
              <w:t>Document 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07" w:type="dxa"/>
            <w:tcMar/>
          </w:tcPr>
          <w:p w:rsidRPr="009176B7" w:rsidR="00E175EC" w:rsidP="005B71A4" w:rsidRDefault="00E175EC" w14:paraId="4C43D711" w14:textId="065E153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 w:rsidRPr="009176B7">
              <w:rPr>
                <w:szCs w:val="32"/>
              </w:rPr>
              <w:t>Draft</w:t>
            </w:r>
          </w:p>
        </w:tc>
      </w:tr>
      <w:tr w:rsidR="00093EF0" w:rsidTr="327C719B" w14:paraId="38AB8A8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Mar/>
          </w:tcPr>
          <w:p w:rsidRPr="009176B7" w:rsidR="00093EF0" w:rsidP="005B71A4" w:rsidRDefault="00093EF0" w14:paraId="3115B444" w14:textId="05605942">
            <w:pPr>
              <w:pStyle w:val="NoSpacing"/>
              <w:jc w:val="left"/>
              <w:rPr>
                <w:szCs w:val="32"/>
              </w:rPr>
            </w:pPr>
            <w:r w:rsidRPr="009176B7">
              <w:rPr>
                <w:szCs w:val="32"/>
              </w:rPr>
              <w:t>Applicable 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07" w:type="dxa"/>
            <w:tcMar/>
          </w:tcPr>
          <w:p w:rsidRPr="009176B7" w:rsidR="00093EF0" w:rsidP="005B71A4" w:rsidRDefault="00627E43" w14:paraId="28B1663A" w14:textId="6CE2AE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093EF0">
              <w:rPr/>
              <w:t>All Trust Employees</w:t>
            </w:r>
            <w:r w:rsidR="00627E43">
              <w:rPr/>
              <w:t xml:space="preserve"> </w:t>
            </w:r>
          </w:p>
        </w:tc>
      </w:tr>
      <w:tr w:rsidR="005B71A4" w:rsidTr="327C719B" w14:paraId="2607A8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Mar/>
          </w:tcPr>
          <w:p w:rsidRPr="009176B7" w:rsidR="005B71A4" w:rsidP="005B71A4" w:rsidRDefault="005B71A4" w14:paraId="3A8DFC2C" w14:textId="7FFAF650">
            <w:pPr>
              <w:pStyle w:val="NoSpacing"/>
              <w:jc w:val="left"/>
              <w:rPr>
                <w:szCs w:val="32"/>
              </w:rPr>
            </w:pPr>
            <w:r w:rsidRPr="009176B7">
              <w:rPr>
                <w:szCs w:val="32"/>
              </w:rPr>
              <w:t>Review Frequency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07" w:type="dxa"/>
            <w:tcMar/>
          </w:tcPr>
          <w:p w:rsidRPr="009176B7" w:rsidR="005B71A4" w:rsidP="005B71A4" w:rsidRDefault="00CD6F6F" w14:paraId="741007C9" w14:textId="169BE0B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 w:rsidRPr="009176B7">
              <w:rPr>
                <w:szCs w:val="32"/>
              </w:rPr>
              <w:t xml:space="preserve">Every </w:t>
            </w:r>
            <w:r w:rsidR="00EE24DC">
              <w:rPr>
                <w:szCs w:val="32"/>
              </w:rPr>
              <w:t xml:space="preserve">3 </w:t>
            </w:r>
            <w:r w:rsidRPr="009176B7">
              <w:rPr>
                <w:szCs w:val="32"/>
              </w:rPr>
              <w:t>Years</w:t>
            </w:r>
          </w:p>
        </w:tc>
      </w:tr>
    </w:tbl>
    <w:p w:rsidR="00093EF0" w:rsidP="00093EF0" w:rsidRDefault="00093EF0" w14:paraId="3F6203A3" w14:textId="77777777">
      <w:pPr>
        <w:pStyle w:val="NoSpacing"/>
      </w:pPr>
    </w:p>
    <w:p w:rsidRPr="00093EF0" w:rsidR="005B71A4" w:rsidP="00EB299E" w:rsidRDefault="005B71A4" w14:paraId="00D64863" w14:textId="2D3CE298">
      <w:pPr>
        <w:pStyle w:val="Subtitle"/>
      </w:pPr>
      <w:r w:rsidRPr="00093EF0">
        <w:t xml:space="preserve">Revision History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693"/>
        <w:gridCol w:w="1926"/>
      </w:tblGrid>
      <w:tr w:rsidR="00C45FA7" w:rsidTr="327C719B" w14:paraId="599EEB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Mar/>
          </w:tcPr>
          <w:p w:rsidRPr="009176B7" w:rsidR="005B71A4" w:rsidP="005B71A4" w:rsidRDefault="005B71A4" w14:paraId="50DA81FA" w14:textId="3E6C4060">
            <w:pPr>
              <w:pStyle w:val="NoSpacing"/>
              <w:rPr>
                <w:b w:val="0"/>
                <w:bCs w:val="0"/>
                <w:szCs w:val="32"/>
              </w:rPr>
            </w:pPr>
            <w:r w:rsidRPr="009176B7">
              <w:rPr>
                <w:b w:val="0"/>
                <w:bCs w:val="0"/>
                <w:szCs w:val="32"/>
              </w:rPr>
              <w:t>Revision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176B7" w:rsidR="005B71A4" w:rsidP="005B71A4" w:rsidRDefault="005B71A4" w14:paraId="69B92351" w14:textId="5A2E155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32"/>
              </w:rPr>
            </w:pPr>
            <w:r w:rsidRPr="009176B7">
              <w:rPr>
                <w:b w:val="0"/>
                <w:bCs w:val="0"/>
                <w:szCs w:val="32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3" w:type="dxa"/>
            <w:tcMar/>
          </w:tcPr>
          <w:p w:rsidRPr="009176B7" w:rsidR="005B71A4" w:rsidP="005B71A4" w:rsidRDefault="005B71A4" w14:paraId="7E8CCFE9" w14:textId="49511C0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32"/>
              </w:rPr>
            </w:pPr>
            <w:r w:rsidRPr="009176B7">
              <w:rPr>
                <w:b w:val="0"/>
                <w:bCs w:val="0"/>
                <w:szCs w:val="32"/>
              </w:rPr>
              <w:t>Details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9176B7" w:rsidR="005B71A4" w:rsidP="005B71A4" w:rsidRDefault="005B71A4" w14:paraId="7B1116A7" w14:textId="7C734EA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32"/>
              </w:rPr>
            </w:pPr>
            <w:r w:rsidRPr="009176B7">
              <w:rPr>
                <w:b w:val="0"/>
                <w:bCs w:val="0"/>
                <w:szCs w:val="32"/>
              </w:rPr>
              <w:t>Approved by</w:t>
            </w:r>
          </w:p>
        </w:tc>
      </w:tr>
      <w:tr w:rsidR="00C45FA7" w:rsidTr="327C719B" w14:paraId="2DBB4D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Mar/>
          </w:tcPr>
          <w:p w:rsidRPr="009176B7" w:rsidR="005B71A4" w:rsidP="00093EF0" w:rsidRDefault="00093EF0" w14:paraId="40D05BB2" w14:textId="59770324">
            <w:pPr>
              <w:pStyle w:val="NoSpacing"/>
              <w:jc w:val="center"/>
              <w:rPr>
                <w:b w:val="0"/>
                <w:bCs w:val="0"/>
                <w:szCs w:val="32"/>
              </w:rPr>
            </w:pPr>
            <w:r w:rsidRPr="009176B7">
              <w:rPr>
                <w:b w:val="0"/>
                <w:bCs w:val="0"/>
                <w:szCs w:val="3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176B7" w:rsidR="005B71A4" w:rsidP="005B71A4" w:rsidRDefault="005B71A4" w14:paraId="145A8F23" w14:textId="34209CB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0A33060">
              <w:rPr/>
              <w:t>August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3" w:type="dxa"/>
            <w:tcMar/>
          </w:tcPr>
          <w:p w:rsidRPr="009176B7" w:rsidR="005B71A4" w:rsidP="005B71A4" w:rsidRDefault="000C77D7" w14:paraId="7131F286" w14:textId="277523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 w:rsidRPr="009176B7">
              <w:rPr>
                <w:szCs w:val="32"/>
              </w:rPr>
              <w:t>First Issue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9176B7" w:rsidR="005B71A4" w:rsidP="005B71A4" w:rsidRDefault="005B71A4" w14:paraId="24320374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5B71A4" w:rsidTr="327C719B" w14:paraId="2B2855B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Mar/>
          </w:tcPr>
          <w:p w:rsidRPr="009176B7" w:rsidR="005B71A4" w:rsidP="00093EF0" w:rsidRDefault="005B71A4" w14:paraId="05A7C1A7" w14:textId="77777777">
            <w:pPr>
              <w:pStyle w:val="NoSpacing"/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176B7" w:rsidR="005B71A4" w:rsidP="005B71A4" w:rsidRDefault="005B71A4" w14:paraId="0FBCE26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3" w:type="dxa"/>
            <w:tcMar/>
          </w:tcPr>
          <w:p w:rsidRPr="009176B7" w:rsidR="005B71A4" w:rsidP="005B71A4" w:rsidRDefault="005B71A4" w14:paraId="5C45A4B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9176B7" w:rsidR="005B71A4" w:rsidP="005B71A4" w:rsidRDefault="005B71A4" w14:paraId="76CCD58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C45FA7" w:rsidTr="327C719B" w14:paraId="43E29F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Mar/>
          </w:tcPr>
          <w:p w:rsidRPr="009176B7" w:rsidR="005B71A4" w:rsidP="00093EF0" w:rsidRDefault="005B71A4" w14:paraId="456E0867" w14:textId="77777777">
            <w:pPr>
              <w:pStyle w:val="NoSpacing"/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176B7" w:rsidR="005B71A4" w:rsidP="005B71A4" w:rsidRDefault="005B71A4" w14:paraId="294541F8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3" w:type="dxa"/>
            <w:tcMar/>
          </w:tcPr>
          <w:p w:rsidRPr="009176B7" w:rsidR="005B71A4" w:rsidP="005B71A4" w:rsidRDefault="005B71A4" w14:paraId="610085C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9176B7" w:rsidR="005B71A4" w:rsidP="005B71A4" w:rsidRDefault="005B71A4" w14:paraId="6C1A314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5B71A4" w:rsidTr="327C719B" w14:paraId="219D733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Mar/>
          </w:tcPr>
          <w:p w:rsidRPr="009176B7" w:rsidR="005B71A4" w:rsidP="00093EF0" w:rsidRDefault="005B71A4" w14:paraId="67FEAEF1" w14:textId="77777777">
            <w:pPr>
              <w:pStyle w:val="NoSpacing"/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176B7" w:rsidR="005B71A4" w:rsidP="005B71A4" w:rsidRDefault="005B71A4" w14:paraId="308A2F1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3" w:type="dxa"/>
            <w:tcMar/>
          </w:tcPr>
          <w:p w:rsidRPr="009176B7" w:rsidR="005B71A4" w:rsidP="005B71A4" w:rsidRDefault="005B71A4" w14:paraId="403E440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9176B7" w:rsidR="005B71A4" w:rsidP="005B71A4" w:rsidRDefault="005B71A4" w14:paraId="2FC487E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</w:p>
        </w:tc>
      </w:tr>
      <w:tr w:rsidR="00C45FA7" w:rsidTr="327C719B" w14:paraId="1F5A55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Mar/>
          </w:tcPr>
          <w:p w:rsidRPr="009176B7" w:rsidR="005B71A4" w:rsidP="00093EF0" w:rsidRDefault="005B71A4" w14:paraId="3059F2D4" w14:textId="77777777">
            <w:pPr>
              <w:pStyle w:val="NoSpacing"/>
              <w:jc w:val="center"/>
              <w:rPr>
                <w:b w:val="0"/>
                <w:bCs w:val="0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176B7" w:rsidR="005B71A4" w:rsidP="005B71A4" w:rsidRDefault="005B71A4" w14:paraId="05C56D6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3" w:type="dxa"/>
            <w:tcMar/>
          </w:tcPr>
          <w:p w:rsidRPr="009176B7" w:rsidR="005B71A4" w:rsidP="005B71A4" w:rsidRDefault="005B71A4" w14:paraId="0203FA91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6" w:type="dxa"/>
            <w:tcMar/>
          </w:tcPr>
          <w:p w:rsidRPr="009176B7" w:rsidR="005B71A4" w:rsidP="005B71A4" w:rsidRDefault="005B71A4" w14:paraId="6DB04BD6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</w:p>
        </w:tc>
      </w:tr>
    </w:tbl>
    <w:p w:rsidRPr="005B71A4" w:rsidR="005B71A4" w:rsidP="00093EF0" w:rsidRDefault="005B71A4" w14:paraId="2036B291" w14:textId="77777777"/>
    <w:p w:rsidR="00093EF0" w:rsidP="00093EF0" w:rsidRDefault="00093EF0" w14:paraId="00606B29" w14:textId="31C8197F">
      <w:r>
        <w:br w:type="page"/>
      </w:r>
    </w:p>
    <w:p w:rsidR="00575755" w:rsidP="00EB299E" w:rsidRDefault="00575755" w14:paraId="6D159450" w14:textId="477F6557">
      <w:pPr>
        <w:pStyle w:val="Subtitle"/>
      </w:pPr>
      <w:r>
        <w:lastRenderedPageBreak/>
        <w:t>Contents</w:t>
      </w:r>
    </w:p>
    <w:p w:rsidR="003669A4" w:rsidRDefault="00575755" w14:paraId="2E408746" w14:textId="2CC25691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"2-2" \h \z \t "Heading 1,1" </w:instrText>
      </w:r>
      <w:r>
        <w:fldChar w:fldCharType="separate"/>
      </w:r>
      <w:hyperlink w:history="1" w:anchor="_Toc206421000">
        <w:r w:rsidRPr="00FE41F7" w:rsidR="003669A4">
          <w:rPr>
            <w:rStyle w:val="Hyperlink"/>
            <w:noProof/>
          </w:rPr>
          <w:t>1.</w:t>
        </w:r>
        <w:r w:rsidR="003669A4"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 w:rsidR="003669A4">
          <w:rPr>
            <w:rStyle w:val="Hyperlink"/>
            <w:noProof/>
          </w:rPr>
          <w:t>Introduction</w:t>
        </w:r>
        <w:r w:rsidR="003669A4">
          <w:rPr>
            <w:noProof/>
            <w:webHidden/>
          </w:rPr>
          <w:tab/>
        </w:r>
        <w:r w:rsidR="003669A4">
          <w:rPr>
            <w:noProof/>
            <w:webHidden/>
          </w:rPr>
          <w:fldChar w:fldCharType="begin"/>
        </w:r>
        <w:r w:rsidR="003669A4">
          <w:rPr>
            <w:noProof/>
            <w:webHidden/>
          </w:rPr>
          <w:instrText xml:space="preserve"> PAGEREF _Toc206421000 \h </w:instrText>
        </w:r>
        <w:r w:rsidR="003669A4">
          <w:rPr>
            <w:noProof/>
            <w:webHidden/>
          </w:rPr>
        </w:r>
        <w:r w:rsidR="003669A4">
          <w:rPr>
            <w:noProof/>
            <w:webHidden/>
          </w:rPr>
          <w:fldChar w:fldCharType="separate"/>
        </w:r>
        <w:r w:rsidR="003669A4">
          <w:rPr>
            <w:noProof/>
            <w:webHidden/>
          </w:rPr>
          <w:t>3</w:t>
        </w:r>
        <w:r w:rsidR="003669A4">
          <w:rPr>
            <w:noProof/>
            <w:webHidden/>
          </w:rPr>
          <w:fldChar w:fldCharType="end"/>
        </w:r>
      </w:hyperlink>
    </w:p>
    <w:p w:rsidR="003669A4" w:rsidRDefault="003669A4" w14:paraId="7C9253A8" w14:textId="2A7D35A8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1">
        <w:r w:rsidRPr="00FE41F7">
          <w:rPr>
            <w:rStyle w:val="Hyperlink"/>
            <w:noProof/>
          </w:rPr>
          <w:t>2.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noProof/>
          </w:rPr>
          <w:t>Scope of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14A03BF6" w14:textId="2F2849D6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2">
        <w:r w:rsidRPr="00FE41F7">
          <w:rPr>
            <w:rStyle w:val="Hyperlink"/>
            <w:noProof/>
          </w:rPr>
          <w:t>3.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noProof/>
          </w:rPr>
          <w:t>Defining a Conflict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6228FD72" w14:textId="56383E34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3">
        <w:r w:rsidRPr="00FE41F7">
          <w:rPr>
            <w:rStyle w:val="Hyperlink"/>
            <w:noProof/>
          </w:rPr>
          <w:t>4.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noProof/>
          </w:rPr>
          <w:t>Register of Interest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598FD747" w14:textId="2AACD067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4">
        <w:r w:rsidRPr="00FE41F7">
          <w:rPr>
            <w:rStyle w:val="Hyperlink"/>
            <w:noProof/>
          </w:rPr>
          <w:t>5.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noProof/>
          </w:rPr>
          <w:t>Declaration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7E42A8F6" w14:textId="50EA25A9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5">
        <w:r w:rsidRPr="00FE41F7">
          <w:rPr>
            <w:rStyle w:val="Hyperlink"/>
            <w:noProof/>
          </w:rPr>
          <w:t>6.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noProof/>
          </w:rPr>
          <w:t>Managing Related Party Transactions (RPTs)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5E58F454" w14:textId="3FEAEB76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6">
        <w:r w:rsidRPr="00FE41F7">
          <w:rPr>
            <w:rStyle w:val="Hyperlink"/>
            <w:rFonts w:eastAsia="Times New Roman"/>
            <w:noProof/>
            <w:lang w:eastAsia="en-GB"/>
          </w:rPr>
          <w:t>7.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rFonts w:eastAsia="Times New Roman"/>
            <w:noProof/>
            <w:lang w:eastAsia="en-GB"/>
          </w:rPr>
          <w:t>Prevention and Oversight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15A22A3D" w14:textId="6F775CBA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7">
        <w:r w:rsidRPr="00FE41F7">
          <w:rPr>
            <w:rStyle w:val="Hyperlink"/>
            <w:rFonts w:eastAsia="Times New Roman"/>
            <w:noProof/>
            <w:lang w:eastAsia="en-GB"/>
          </w:rPr>
          <w:t>8.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rFonts w:eastAsia="Times New Roman"/>
            <w:noProof/>
            <w:lang w:eastAsia="en-GB"/>
          </w:rPr>
          <w:t>Transparency and Accountability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093B12F9" w14:textId="43DEE080">
      <w:pPr>
        <w:pStyle w:val="TOC1"/>
        <w:tabs>
          <w:tab w:val="left" w:pos="48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8">
        <w:r w:rsidRPr="00FE41F7">
          <w:rPr>
            <w:rStyle w:val="Hyperlink"/>
            <w:noProof/>
            <w:lang w:eastAsia="en-GB"/>
          </w:rPr>
          <w:t>9.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noProof/>
            <w:lang w:eastAsia="en-GB"/>
          </w:rPr>
          <w:t>Breach and Remedial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3A537F66" w14:textId="19772DF6">
      <w:pPr>
        <w:pStyle w:val="TOC1"/>
        <w:tabs>
          <w:tab w:val="left" w:pos="660"/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09">
        <w:r w:rsidRPr="00FE41F7">
          <w:rPr>
            <w:rStyle w:val="Hyperlink"/>
            <w:rFonts w:eastAsia="Times New Roman"/>
            <w:noProof/>
            <w:lang w:eastAsia="en-GB"/>
          </w:rPr>
          <w:t>10.</w:t>
        </w:r>
        <w:r>
          <w:rPr>
            <w:rFonts w:asciiTheme="minorHAnsi" w:hAnsiTheme="minorHAnsi"/>
            <w:noProof/>
            <w:sz w:val="22"/>
            <w:szCs w:val="22"/>
            <w:lang w:eastAsia="en-GB"/>
          </w:rPr>
          <w:tab/>
        </w:r>
        <w:r w:rsidRPr="00FE41F7">
          <w:rPr>
            <w:rStyle w:val="Hyperlink"/>
            <w:rFonts w:eastAsia="Times New Roman"/>
            <w:noProof/>
            <w:lang w:eastAsia="en-GB"/>
          </w:rPr>
          <w:t>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669A4" w:rsidRDefault="003669A4" w14:paraId="304B3496" w14:textId="40A32C02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  <w:szCs w:val="22"/>
          <w:lang w:eastAsia="en-GB"/>
        </w:rPr>
      </w:pPr>
      <w:hyperlink w:history="1" w:anchor="_Toc206421010">
        <w:r w:rsidRPr="00FE41F7">
          <w:rPr>
            <w:rStyle w:val="Hyperlink"/>
            <w:noProof/>
          </w:rPr>
          <w:t>Summary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_Toc206421010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1A4F" w:rsidRDefault="00575755" w14:paraId="01456327" w14:textId="18A5DDF4">
      <w:pPr>
        <w:spacing w:after="160" w:line="259" w:lineRule="auto"/>
        <w:jc w:val="left"/>
        <w:rPr>
          <w:b/>
          <w:color w:val="005493"/>
          <w:sz w:val="28"/>
          <w:szCs w:val="28"/>
        </w:rPr>
      </w:pPr>
      <w:r>
        <w:fldChar w:fldCharType="end"/>
      </w:r>
      <w:r w:rsidR="00491A4F">
        <w:br w:type="page"/>
      </w:r>
      <w:bookmarkStart w:name="_GoBack" w:id="0"/>
      <w:bookmarkEnd w:id="0"/>
    </w:p>
    <w:p w:rsidRPr="00093EF0" w:rsidR="00650848" w:rsidP="00EB299E" w:rsidRDefault="00DD055F" w14:paraId="6486E72A" w14:textId="3A876F57">
      <w:pPr>
        <w:pStyle w:val="Heading1"/>
        <w:numPr>
          <w:ilvl w:val="0"/>
          <w:numId w:val="2"/>
        </w:numPr>
      </w:pPr>
      <w:bookmarkStart w:name="_Toc206421000" w:id="1"/>
      <w:r>
        <w:lastRenderedPageBreak/>
        <w:t>Introduction</w:t>
      </w:r>
      <w:bookmarkEnd w:id="1"/>
    </w:p>
    <w:p w:rsidRPr="00EE24DC" w:rsidR="00EE24DC" w:rsidP="00EE24DC" w:rsidRDefault="00EE24DC" w14:paraId="1242B991" w14:textId="3A7DBF0B">
      <w:pPr>
        <w:pStyle w:val="NoSpacing"/>
        <w:rPr>
          <w:rFonts w:eastAsia="Times New Roman"/>
          <w:b/>
          <w:bCs/>
          <w:lang w:eastAsia="en-GB"/>
        </w:rPr>
      </w:pPr>
      <w:r w:rsidRPr="00217377">
        <w:rPr>
          <w:rFonts w:eastAsia="Times New Roman"/>
          <w:lang w:eastAsia="en-GB"/>
        </w:rPr>
        <w:t>This policy ensures that Trustees act solely in the best interests of the Trust, upholding the Nolan Principles</w:t>
      </w:r>
      <w:r>
        <w:rPr>
          <w:rFonts w:eastAsia="Times New Roman"/>
          <w:lang w:eastAsia="en-GB"/>
        </w:rPr>
        <w:t xml:space="preserve"> of </w:t>
      </w:r>
      <w:r w:rsidRPr="00217377">
        <w:rPr>
          <w:rFonts w:eastAsia="Times New Roman"/>
          <w:b/>
          <w:bCs/>
          <w:lang w:eastAsia="en-GB"/>
        </w:rPr>
        <w:t>Selflessness, Integrity, Objectivity, Accountability, Openness, Honesty, and Leadership</w:t>
      </w:r>
      <w:r>
        <w:rPr>
          <w:rFonts w:eastAsia="Times New Roman"/>
          <w:b/>
          <w:bCs/>
          <w:lang w:eastAsia="en-GB"/>
        </w:rPr>
        <w:t xml:space="preserve"> </w:t>
      </w:r>
      <w:hyperlink w:history="1" r:id="rId12">
        <w:r>
          <w:rPr>
            <w:rStyle w:val="Hyperlink"/>
          </w:rPr>
          <w:t>Good Governance</w:t>
        </w:r>
      </w:hyperlink>
      <w:r>
        <w:rPr>
          <w:rFonts w:eastAsia="Times New Roman"/>
          <w:b/>
          <w:bCs/>
          <w:lang w:eastAsia="en-GB"/>
        </w:rPr>
        <w:t xml:space="preserve"> </w:t>
      </w:r>
      <w:r w:rsidRPr="00217377">
        <w:rPr>
          <w:rFonts w:eastAsia="Times New Roman"/>
          <w:lang w:eastAsia="en-GB"/>
        </w:rPr>
        <w:t xml:space="preserve">while adhering to statutory duties under the Academy Trust Handbook, Charity Law, and Company Law. It establishes rigorous guidance on identifying, managing, preventing, recording, and reporting conflicts of interest, including </w:t>
      </w:r>
      <w:r w:rsidRPr="00217377">
        <w:rPr>
          <w:rFonts w:eastAsia="Times New Roman"/>
          <w:b/>
          <w:bCs/>
          <w:lang w:eastAsia="en-GB"/>
        </w:rPr>
        <w:t>related party transactions</w:t>
      </w:r>
      <w:r w:rsidRPr="00217377">
        <w:rPr>
          <w:rFonts w:eastAsia="Times New Roman"/>
          <w:lang w:eastAsia="en-GB"/>
        </w:rPr>
        <w:t>, as required by DfE guidance</w:t>
      </w:r>
      <w:r>
        <w:rPr>
          <w:rFonts w:eastAsia="Times New Roman"/>
          <w:lang w:eastAsia="en-GB"/>
        </w:rPr>
        <w:t xml:space="preserve"> </w:t>
      </w:r>
      <w:hyperlink w:tgtFrame="_blank" w:history="1" r:id="rId13">
        <w:r>
          <w:rPr>
            <w:rFonts w:eastAsia="Times New Roman"/>
            <w:color w:val="0000FF"/>
            <w:u w:val="single"/>
            <w:lang w:eastAsia="en-GB"/>
          </w:rPr>
          <w:t>GOV.UK</w:t>
        </w:r>
      </w:hyperlink>
      <w:r w:rsidRPr="00217377">
        <w:rPr>
          <w:rFonts w:eastAsia="Times New Roman"/>
          <w:lang w:eastAsia="en-GB"/>
        </w:rPr>
        <w:t>.</w:t>
      </w:r>
    </w:p>
    <w:p w:rsidRPr="00783C34" w:rsidR="00093EF0" w:rsidP="00EB299E" w:rsidRDefault="00B9738A" w14:paraId="05B294AF" w14:textId="0BF2CA77">
      <w:pPr>
        <w:pStyle w:val="Heading1"/>
      </w:pPr>
      <w:bookmarkStart w:name="_Toc206421001" w:id="2"/>
      <w:r w:rsidRPr="00783C34">
        <w:t>Scope of Policy</w:t>
      </w:r>
      <w:bookmarkEnd w:id="2"/>
    </w:p>
    <w:p w:rsidRPr="00217377" w:rsidR="00EE24DC" w:rsidP="00EE24DC" w:rsidRDefault="00EE24DC" w14:paraId="32F0393A" w14:textId="77777777">
      <w:pPr>
        <w:pStyle w:val="NoSpacing"/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>Applies to all individuals involved in governance and management:</w:t>
      </w:r>
    </w:p>
    <w:p w:rsidRPr="00217377" w:rsidR="00EE24DC" w:rsidP="00440A4C" w:rsidRDefault="00EE24DC" w14:paraId="44D047A1" w14:textId="77777777">
      <w:pPr>
        <w:pStyle w:val="NoSpacing"/>
        <w:numPr>
          <w:ilvl w:val="0"/>
          <w:numId w:val="3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>Trustees</w:t>
      </w:r>
    </w:p>
    <w:p w:rsidRPr="00217377" w:rsidR="00EE24DC" w:rsidP="00440A4C" w:rsidRDefault="00EE24DC" w14:paraId="0558B200" w14:textId="77777777">
      <w:pPr>
        <w:pStyle w:val="NoSpacing"/>
        <w:numPr>
          <w:ilvl w:val="0"/>
          <w:numId w:val="3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>Members</w:t>
      </w:r>
    </w:p>
    <w:p w:rsidRPr="00217377" w:rsidR="00EE24DC" w:rsidP="00440A4C" w:rsidRDefault="00EE24DC" w14:paraId="36B15A8E" w14:textId="77777777">
      <w:pPr>
        <w:pStyle w:val="NoSpacing"/>
        <w:numPr>
          <w:ilvl w:val="0"/>
          <w:numId w:val="3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>Local governors or committee members</w:t>
      </w:r>
    </w:p>
    <w:p w:rsidRPr="00EE24DC" w:rsidR="00EE24DC" w:rsidP="00440A4C" w:rsidRDefault="00EE24DC" w14:paraId="0C65E1EE" w14:textId="38AEE384">
      <w:pPr>
        <w:pStyle w:val="NoSpacing"/>
        <w:numPr>
          <w:ilvl w:val="0"/>
          <w:numId w:val="3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>Senior employees and any person who may influence trust decisions.</w:t>
      </w:r>
    </w:p>
    <w:p w:rsidR="00CC7480" w:rsidP="00EB299E" w:rsidRDefault="00EE24DC" w14:paraId="4ABCFD84" w14:textId="6E438CEF">
      <w:pPr>
        <w:pStyle w:val="Heading1"/>
      </w:pPr>
      <w:bookmarkStart w:name="_Toc206421002" w:id="3"/>
      <w:r>
        <w:t>De</w:t>
      </w:r>
      <w:r w:rsidR="00125D5D">
        <w:t>fining a Conflict</w:t>
      </w:r>
      <w:bookmarkEnd w:id="3"/>
      <w:r w:rsidR="00125D5D">
        <w:t xml:space="preserve"> </w:t>
      </w:r>
    </w:p>
    <w:p w:rsidRPr="007D100E" w:rsidR="00CC7480" w:rsidP="007D100E" w:rsidRDefault="00125D5D" w14:paraId="57B91A4A" w14:textId="45B5BD10">
      <w:pPr>
        <w:rPr>
          <w:rFonts w:eastAsia="Times New Roman" w:cs="Calibri"/>
          <w:color w:val="0000FF"/>
          <w:szCs w:val="24"/>
          <w:u w:val="single"/>
          <w:lang w:eastAsia="en-GB"/>
        </w:rPr>
      </w:pPr>
      <w:r w:rsidRPr="007D100E">
        <w:rPr>
          <w:rFonts w:eastAsia="Times New Roman"/>
          <w:szCs w:val="24"/>
          <w:lang w:eastAsia="en-GB"/>
        </w:rPr>
        <w:t xml:space="preserve">A Conflict maybe </w:t>
      </w:r>
      <w:r w:rsidRPr="007D100E">
        <w:rPr>
          <w:rFonts w:eastAsia="Times New Roman"/>
          <w:b/>
          <w:szCs w:val="24"/>
          <w:lang w:eastAsia="en-GB"/>
        </w:rPr>
        <w:t>Actual, Potential</w:t>
      </w:r>
      <w:r w:rsidRPr="007D100E">
        <w:rPr>
          <w:rFonts w:eastAsia="Times New Roman"/>
          <w:szCs w:val="24"/>
          <w:lang w:eastAsia="en-GB"/>
        </w:rPr>
        <w:t xml:space="preserve"> or </w:t>
      </w:r>
      <w:r w:rsidRPr="007D100E">
        <w:rPr>
          <w:rFonts w:eastAsia="Times New Roman"/>
          <w:b/>
          <w:szCs w:val="24"/>
          <w:lang w:eastAsia="en-GB"/>
        </w:rPr>
        <w:t>Perceived,</w:t>
      </w:r>
      <w:r w:rsidRPr="007D100E">
        <w:rPr>
          <w:rFonts w:eastAsia="Times New Roman"/>
          <w:szCs w:val="24"/>
          <w:lang w:eastAsia="en-GB"/>
        </w:rPr>
        <w:t xml:space="preserve"> and arises when personal interests could influence, or appear to influence decisions made in the Trust’s best interests</w:t>
      </w:r>
      <w:r w:rsidRPr="007D100E" w:rsidR="00A47943">
        <w:rPr>
          <w:rFonts w:eastAsia="Times New Roman"/>
          <w:szCs w:val="24"/>
          <w:lang w:eastAsia="en-GB"/>
        </w:rPr>
        <w:t xml:space="preserve"> </w:t>
      </w:r>
      <w:hyperlink w:tgtFrame="_blank" w:history="1" r:id="rId14">
        <w:r w:rsidRPr="007D100E" w:rsidR="00A47943">
          <w:rPr>
            <w:rFonts w:eastAsia="Times New Roman" w:cs="Calibri"/>
            <w:color w:val="0000FF"/>
            <w:szCs w:val="24"/>
            <w:u w:val="single"/>
            <w:lang w:eastAsia="en-GB"/>
          </w:rPr>
          <w:t xml:space="preserve">Governance Guidance </w:t>
        </w:r>
      </w:hyperlink>
      <w:r w:rsidRPr="007D100E" w:rsidR="00EE3493">
        <w:rPr>
          <w:rFonts w:eastAsia="Times New Roman" w:cs="Calibri"/>
          <w:color w:val="0000FF"/>
          <w:szCs w:val="24"/>
          <w:u w:val="single"/>
          <w:lang w:eastAsia="en-GB"/>
        </w:rPr>
        <w:t xml:space="preserve"> </w:t>
      </w:r>
      <w:r w:rsidRPr="007D100E" w:rsidR="00A47943">
        <w:rPr>
          <w:rFonts w:eastAsia="Times New Roman"/>
          <w:szCs w:val="24"/>
          <w:lang w:eastAsia="en-GB"/>
        </w:rPr>
        <w:t xml:space="preserve">All situations must be treated carefully and managed proactively. </w:t>
      </w:r>
    </w:p>
    <w:p w:rsidRPr="00EB299E" w:rsidR="00EB299E" w:rsidP="00EB299E" w:rsidRDefault="003A1CE2" w14:paraId="5D79E2E6" w14:textId="035BA976">
      <w:pPr>
        <w:pStyle w:val="Heading1"/>
      </w:pPr>
      <w:bookmarkStart w:name="_Toc206421003" w:id="4"/>
      <w:r>
        <w:t>Register of Interest</w:t>
      </w:r>
      <w:bookmarkEnd w:id="4"/>
      <w:r>
        <w:t xml:space="preserve"> </w:t>
      </w:r>
    </w:p>
    <w:p w:rsidRPr="00217377" w:rsidR="003A1CE2" w:rsidP="00440A4C" w:rsidRDefault="003A1CE2" w14:paraId="0F5D6D7A" w14:textId="4F8DBCEF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 xml:space="preserve">All Trustees and relevant personnel must complete a </w:t>
      </w:r>
      <w:r w:rsidRPr="00217377">
        <w:rPr>
          <w:rFonts w:eastAsia="Times New Roman"/>
          <w:b/>
          <w:bCs/>
          <w:lang w:eastAsia="en-GB"/>
        </w:rPr>
        <w:t>Register of Interests</w:t>
      </w:r>
      <w:r>
        <w:rPr>
          <w:rFonts w:eastAsia="Times New Roman"/>
          <w:lang w:eastAsia="en-GB"/>
        </w:rPr>
        <w:t xml:space="preserve"> </w:t>
      </w:r>
      <w:r w:rsidRPr="00217377">
        <w:rPr>
          <w:rFonts w:eastAsia="Times New Roman"/>
          <w:lang w:eastAsia="en-GB"/>
        </w:rPr>
        <w:t>including relationships with employees, governors, members, and related parties</w:t>
      </w:r>
      <w:r>
        <w:rPr>
          <w:rFonts w:eastAsia="Times New Roman"/>
          <w:lang w:eastAsia="en-GB"/>
        </w:rPr>
        <w:t xml:space="preserve"> </w:t>
      </w:r>
      <w:hyperlink w:tgtFrame="_blank" w:history="1" r:id="rId15">
        <w:r>
          <w:rPr>
            <w:rFonts w:eastAsia="Times New Roman"/>
            <w:color w:val="0000FF"/>
            <w:u w:val="single"/>
            <w:lang w:eastAsia="en-GB"/>
          </w:rPr>
          <w:t>Governance Guidance</w:t>
        </w:r>
      </w:hyperlink>
      <w:r w:rsidRPr="00217377">
        <w:rPr>
          <w:rFonts w:eastAsia="Times New Roman"/>
          <w:lang w:eastAsia="en-GB"/>
        </w:rPr>
        <w:t>.</w:t>
      </w:r>
    </w:p>
    <w:p w:rsidRPr="00217377" w:rsidR="003A1CE2" w:rsidP="00440A4C" w:rsidRDefault="003A1CE2" w14:paraId="0E3D87FD" w14:textId="77777777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 xml:space="preserve">The register is maintained and reviewed at least </w:t>
      </w:r>
      <w:r w:rsidRPr="00217377">
        <w:rPr>
          <w:rFonts w:eastAsia="Times New Roman"/>
          <w:b/>
          <w:bCs/>
          <w:lang w:eastAsia="en-GB"/>
        </w:rPr>
        <w:t>annually</w:t>
      </w:r>
      <w:r w:rsidRPr="00217377">
        <w:rPr>
          <w:rFonts w:eastAsia="Times New Roman"/>
          <w:lang w:eastAsia="en-GB"/>
        </w:rPr>
        <w:t>, and updated promptly whenever new interests arise.</w:t>
      </w:r>
    </w:p>
    <w:p w:rsidR="003A1CE2" w:rsidP="00440A4C" w:rsidRDefault="003A1CE2" w14:paraId="287B86FE" w14:textId="0B95F4F2">
      <w:pPr>
        <w:pStyle w:val="NoSpacing"/>
        <w:numPr>
          <w:ilvl w:val="0"/>
          <w:numId w:val="4"/>
        </w:numPr>
        <w:rPr>
          <w:rFonts w:eastAsia="Times New Roman"/>
          <w:lang w:eastAsia="en-GB"/>
        </w:rPr>
      </w:pPr>
      <w:r w:rsidRPr="00217377">
        <w:rPr>
          <w:rFonts w:eastAsia="Times New Roman"/>
          <w:lang w:eastAsia="en-GB"/>
        </w:rPr>
        <w:t>It must be available on request for public inspection</w:t>
      </w:r>
      <w:r>
        <w:rPr>
          <w:rFonts w:eastAsia="Times New Roman"/>
          <w:lang w:eastAsia="en-GB"/>
        </w:rPr>
        <w:t xml:space="preserve"> </w:t>
      </w:r>
      <w:hyperlink w:tgtFrame="_blank" w:history="1" r:id="rId16">
        <w:r w:rsidRPr="00217377">
          <w:rPr>
            <w:rFonts w:eastAsia="Times New Roman"/>
            <w:color w:val="0000FF"/>
            <w:u w:val="single"/>
            <w:lang w:eastAsia="en-GB"/>
          </w:rPr>
          <w:t>GOV.UK</w:t>
        </w:r>
      </w:hyperlink>
      <w:r w:rsidRPr="00217377">
        <w:rPr>
          <w:rFonts w:eastAsia="Times New Roman"/>
          <w:lang w:eastAsia="en-GB"/>
        </w:rPr>
        <w:t>.</w:t>
      </w:r>
    </w:p>
    <w:p w:rsidR="00CC7480" w:rsidP="00EB299E" w:rsidRDefault="003A1CE2" w14:paraId="6DF3F108" w14:textId="62202281">
      <w:pPr>
        <w:pStyle w:val="Heading1"/>
      </w:pPr>
      <w:bookmarkStart w:name="_Toc206421004" w:id="5"/>
      <w:r>
        <w:t>Declaration Process</w:t>
      </w:r>
      <w:bookmarkEnd w:id="5"/>
      <w:r>
        <w:t xml:space="preserve"> </w:t>
      </w:r>
    </w:p>
    <w:p w:rsidRPr="003A1CE2" w:rsidR="003A1CE2" w:rsidP="00440A4C" w:rsidRDefault="003A1CE2" w14:paraId="6117DB02" w14:textId="5204775B">
      <w:pPr>
        <w:pStyle w:val="ListParagraph"/>
        <w:numPr>
          <w:ilvl w:val="0"/>
          <w:numId w:val="5"/>
        </w:numPr>
        <w:jc w:val="both"/>
        <w:rPr>
          <w:rFonts w:eastAsia="Times New Roman"/>
          <w:lang w:eastAsia="en-GB"/>
        </w:rPr>
      </w:pPr>
      <w:r w:rsidRPr="327C719B" w:rsidR="003A1CE2">
        <w:rPr>
          <w:rFonts w:eastAsia="Times New Roman"/>
          <w:lang w:eastAsia="en-GB"/>
        </w:rPr>
        <w:t xml:space="preserve">At </w:t>
      </w:r>
      <w:r w:rsidRPr="327C719B" w:rsidR="62F76A7E">
        <w:rPr>
          <w:rFonts w:eastAsia="Times New Roman"/>
          <w:lang w:eastAsia="en-GB"/>
        </w:rPr>
        <w:t>the beginning</w:t>
      </w:r>
      <w:r w:rsidRPr="327C719B" w:rsidR="003A1CE2">
        <w:rPr>
          <w:rFonts w:eastAsia="Times New Roman"/>
          <w:lang w:eastAsia="en-GB"/>
        </w:rPr>
        <w:t xml:space="preserve"> of each meeting, Trustees should declare any interests specific to agenda items.</w:t>
      </w:r>
    </w:p>
    <w:p w:rsidRPr="003A1CE2" w:rsidR="003A1CE2" w:rsidP="00440A4C" w:rsidRDefault="003A1CE2" w14:paraId="6B39B5DD" w14:textId="77777777">
      <w:pPr>
        <w:pStyle w:val="ListParagraph"/>
        <w:numPr>
          <w:ilvl w:val="0"/>
          <w:numId w:val="5"/>
        </w:numPr>
        <w:jc w:val="both"/>
        <w:rPr>
          <w:rFonts w:eastAsia="Times New Roman"/>
          <w:lang w:eastAsia="en-GB"/>
        </w:rPr>
      </w:pPr>
      <w:r w:rsidRPr="003A1CE2">
        <w:rPr>
          <w:rFonts w:eastAsia="Times New Roman"/>
          <w:lang w:eastAsia="en-GB"/>
        </w:rPr>
        <w:t xml:space="preserve">Trustees must </w:t>
      </w:r>
      <w:r w:rsidRPr="003A1CE2">
        <w:rPr>
          <w:rFonts w:eastAsia="Times New Roman"/>
          <w:b/>
          <w:bCs/>
          <w:lang w:eastAsia="en-GB"/>
        </w:rPr>
        <w:t>withdraw</w:t>
      </w:r>
      <w:r w:rsidRPr="003A1CE2">
        <w:rPr>
          <w:rFonts w:eastAsia="Times New Roman"/>
          <w:lang w:eastAsia="en-GB"/>
        </w:rPr>
        <w:t xml:space="preserve"> from decision-making on issues where they have a declared interest unless invited to remain for clarity or record-keeping, in compliance with documented processes. If they do remain, their presence and reasons must be explicitly recorded.</w:t>
      </w:r>
    </w:p>
    <w:p w:rsidRPr="003A1CE2" w:rsidR="003A1CE2" w:rsidP="00440A4C" w:rsidRDefault="003A1CE2" w14:paraId="2002CCD5" w14:textId="77777777">
      <w:pPr>
        <w:pStyle w:val="ListParagraph"/>
        <w:numPr>
          <w:ilvl w:val="0"/>
          <w:numId w:val="5"/>
        </w:numPr>
        <w:jc w:val="both"/>
        <w:rPr>
          <w:rFonts w:eastAsia="Times New Roman"/>
          <w:lang w:eastAsia="en-GB"/>
        </w:rPr>
      </w:pPr>
      <w:r w:rsidRPr="003A1CE2">
        <w:rPr>
          <w:rFonts w:eastAsia="Times New Roman"/>
          <w:lang w:eastAsia="en-GB"/>
        </w:rPr>
        <w:t xml:space="preserve">All declarations, actions, and outcomes must be </w:t>
      </w:r>
      <w:r w:rsidRPr="003A1CE2">
        <w:rPr>
          <w:rFonts w:eastAsia="Times New Roman"/>
          <w:b/>
          <w:bCs/>
          <w:lang w:eastAsia="en-GB"/>
        </w:rPr>
        <w:t>minuted</w:t>
      </w:r>
      <w:r w:rsidRPr="003A1CE2">
        <w:rPr>
          <w:rFonts w:eastAsia="Times New Roman"/>
          <w:lang w:eastAsia="en-GB"/>
        </w:rPr>
        <w:t>.</w:t>
      </w:r>
    </w:p>
    <w:p w:rsidR="00CC7480" w:rsidP="00EB299E" w:rsidRDefault="00B92954" w14:paraId="47DFB31C" w14:textId="63213E7B">
      <w:pPr>
        <w:pStyle w:val="Heading1"/>
      </w:pPr>
      <w:bookmarkStart w:name="_Toc206421005" w:id="6"/>
      <w:r>
        <w:t>Ma</w:t>
      </w:r>
      <w:r w:rsidR="003A1CE2">
        <w:t>naging Related Party Transactions (RPTs)</w:t>
      </w:r>
      <w:bookmarkEnd w:id="6"/>
    </w:p>
    <w:p w:rsidRPr="003A1CE2" w:rsidR="003A1CE2" w:rsidP="00440A4C" w:rsidRDefault="003A1CE2" w14:paraId="3A29FCE2" w14:textId="3D989812">
      <w:pPr>
        <w:pStyle w:val="NoSpacing"/>
        <w:numPr>
          <w:ilvl w:val="0"/>
          <w:numId w:val="6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 xml:space="preserve">Related party transactions must comply with the </w:t>
      </w:r>
      <w:r w:rsidRPr="003A1CE2">
        <w:rPr>
          <w:rFonts w:eastAsia="Times New Roman" w:cs="Calibri"/>
          <w:b/>
          <w:bCs/>
          <w:lang w:eastAsia="en-GB"/>
        </w:rPr>
        <w:t>Academy Trust Handbook</w:t>
      </w:r>
      <w:r w:rsidRPr="003A1CE2">
        <w:rPr>
          <w:rFonts w:eastAsia="Times New Roman" w:cs="Calibri"/>
          <w:lang w:eastAsia="en-GB"/>
        </w:rPr>
        <w:t xml:space="preserve"> and the DfE’s </w:t>
      </w:r>
      <w:r w:rsidRPr="003A1CE2">
        <w:rPr>
          <w:rFonts w:eastAsia="Times New Roman" w:cs="Calibri"/>
          <w:b/>
          <w:bCs/>
          <w:lang w:eastAsia="en-GB"/>
        </w:rPr>
        <w:t>Good Practice Guide</w:t>
      </w:r>
      <w:r>
        <w:rPr>
          <w:rFonts w:eastAsia="Times New Roman" w:cs="Calibri"/>
          <w:b/>
          <w:bCs/>
          <w:lang w:eastAsia="en-GB"/>
        </w:rPr>
        <w:t xml:space="preserve"> </w:t>
      </w:r>
      <w:hyperlink w:tgtFrame="_blank" w:history="1" r:id="rId17">
        <w:r>
          <w:rPr>
            <w:rFonts w:eastAsia="Times New Roman" w:cs="Calibri"/>
            <w:color w:val="0000FF"/>
            <w:u w:val="single"/>
            <w:lang w:eastAsia="en-GB"/>
          </w:rPr>
          <w:t>Academy Trust Handbook</w:t>
        </w:r>
      </w:hyperlink>
    </w:p>
    <w:p w:rsidRPr="003A1CE2" w:rsidR="003A1CE2" w:rsidP="00440A4C" w:rsidRDefault="003A1CE2" w14:paraId="77D73E65" w14:textId="77777777">
      <w:pPr>
        <w:pStyle w:val="NoSpacing"/>
        <w:numPr>
          <w:ilvl w:val="0"/>
          <w:numId w:val="6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lastRenderedPageBreak/>
        <w:t>Any transaction with a related party (e.g., a company controlled by a Trustee, close family) must be:</w:t>
      </w:r>
    </w:p>
    <w:p w:rsidRPr="003A1CE2" w:rsidR="003A1CE2" w:rsidP="00440A4C" w:rsidRDefault="003A1CE2" w14:paraId="17818FCC" w14:textId="77777777">
      <w:pPr>
        <w:pStyle w:val="NoSpacing"/>
        <w:numPr>
          <w:ilvl w:val="0"/>
          <w:numId w:val="7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>Fully disclosed</w:t>
      </w:r>
    </w:p>
    <w:p w:rsidRPr="003A1CE2" w:rsidR="003A1CE2" w:rsidP="00440A4C" w:rsidRDefault="003A1CE2" w14:paraId="60763630" w14:textId="77777777">
      <w:pPr>
        <w:pStyle w:val="NoSpacing"/>
        <w:numPr>
          <w:ilvl w:val="0"/>
          <w:numId w:val="7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 xml:space="preserve">Subject to </w:t>
      </w:r>
      <w:r w:rsidRPr="003A1CE2">
        <w:rPr>
          <w:rFonts w:eastAsia="Times New Roman" w:cs="Calibri"/>
          <w:b/>
          <w:bCs/>
          <w:lang w:eastAsia="en-GB"/>
        </w:rPr>
        <w:t>independent scrutiny</w:t>
      </w:r>
    </w:p>
    <w:p w:rsidRPr="003A1CE2" w:rsidR="003A1CE2" w:rsidP="00440A4C" w:rsidRDefault="003A1CE2" w14:paraId="3209A84E" w14:textId="71CAC66C">
      <w:pPr>
        <w:pStyle w:val="NoSpacing"/>
        <w:numPr>
          <w:ilvl w:val="0"/>
          <w:numId w:val="7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 xml:space="preserve">Approved by the Board in advance—and if required, submitted via the DfE’s </w:t>
      </w:r>
      <w:r w:rsidRPr="003A1CE2">
        <w:rPr>
          <w:rFonts w:eastAsia="Times New Roman" w:cs="Calibri"/>
          <w:b/>
          <w:bCs/>
          <w:lang w:eastAsia="en-GB"/>
        </w:rPr>
        <w:t>online RPT form</w:t>
      </w:r>
      <w:r w:rsidRPr="003A1CE2">
        <w:rPr>
          <w:rFonts w:eastAsia="Times New Roman" w:cs="Calibri"/>
          <w:lang w:eastAsia="en-GB"/>
        </w:rPr>
        <w:t xml:space="preserve"> or reported in year-end accounts </w:t>
      </w:r>
      <w:hyperlink w:tgtFrame="_blank" w:history="1" r:id="rId18">
        <w:r w:rsidRPr="003A1CE2">
          <w:rPr>
            <w:rFonts w:eastAsia="Times New Roman" w:cs="Calibri"/>
            <w:color w:val="0000FF"/>
            <w:u w:val="single"/>
            <w:lang w:eastAsia="en-GB"/>
          </w:rPr>
          <w:t>The Guardian</w:t>
        </w:r>
      </w:hyperlink>
      <w:r w:rsidRPr="003A1CE2">
        <w:rPr>
          <w:rFonts w:eastAsia="Times New Roman" w:cs="Calibri"/>
          <w:lang w:eastAsia="en-GB"/>
        </w:rPr>
        <w:t>.</w:t>
      </w:r>
    </w:p>
    <w:p w:rsidR="003A1CE2" w:rsidP="00440A4C" w:rsidRDefault="003A1CE2" w14:paraId="378A7C26" w14:textId="3E6F88D7">
      <w:pPr>
        <w:pStyle w:val="NoSpacing"/>
        <w:numPr>
          <w:ilvl w:val="0"/>
          <w:numId w:val="6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 xml:space="preserve">The Board must be satisfied that the transaction represents </w:t>
      </w:r>
      <w:r w:rsidRPr="003A1CE2">
        <w:rPr>
          <w:rFonts w:eastAsia="Times New Roman" w:cs="Calibri"/>
          <w:b/>
          <w:bCs/>
          <w:lang w:eastAsia="en-GB"/>
        </w:rPr>
        <w:t>value for money</w:t>
      </w:r>
      <w:r w:rsidRPr="003A1CE2">
        <w:rPr>
          <w:rFonts w:eastAsia="Times New Roman" w:cs="Calibri"/>
          <w:lang w:eastAsia="en-GB"/>
        </w:rPr>
        <w:t xml:space="preserve"> and is in the Trust’s best interests.</w:t>
      </w:r>
    </w:p>
    <w:p w:rsidR="003A1CE2" w:rsidP="003A1CE2" w:rsidRDefault="003A1CE2" w14:paraId="57E1694F" w14:textId="1130D6FB">
      <w:pPr>
        <w:pStyle w:val="Heading1"/>
        <w:rPr>
          <w:rFonts w:eastAsia="Times New Roman"/>
          <w:lang w:eastAsia="en-GB"/>
        </w:rPr>
      </w:pPr>
      <w:bookmarkStart w:name="_Toc206421006" w:id="7"/>
      <w:r>
        <w:rPr>
          <w:rFonts w:eastAsia="Times New Roman"/>
          <w:lang w:eastAsia="en-GB"/>
        </w:rPr>
        <w:t>Prevention and Oversight</w:t>
      </w:r>
      <w:bookmarkEnd w:id="7"/>
      <w:r>
        <w:rPr>
          <w:rFonts w:eastAsia="Times New Roman"/>
          <w:lang w:eastAsia="en-GB"/>
        </w:rPr>
        <w:t xml:space="preserve"> </w:t>
      </w:r>
    </w:p>
    <w:p w:rsidRPr="003A1CE2" w:rsidR="003A1CE2" w:rsidP="00440A4C" w:rsidRDefault="003A1CE2" w14:paraId="7EB89437" w14:textId="2484CD17">
      <w:pPr>
        <w:pStyle w:val="NoSpacing"/>
        <w:numPr>
          <w:ilvl w:val="0"/>
          <w:numId w:val="8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 xml:space="preserve">The Trust will implement </w:t>
      </w:r>
      <w:r w:rsidRPr="003A1CE2">
        <w:rPr>
          <w:rFonts w:eastAsia="Times New Roman" w:cs="Calibri"/>
          <w:b/>
          <w:bCs/>
          <w:lang w:eastAsia="en-GB"/>
        </w:rPr>
        <w:t>robust systems</w:t>
      </w:r>
      <w:r w:rsidRPr="003A1CE2">
        <w:rPr>
          <w:rFonts w:eastAsia="Times New Roman" w:cs="Calibri"/>
          <w:lang w:eastAsia="en-GB"/>
        </w:rPr>
        <w:t xml:space="preserve"> to identify and manage conflicts early</w:t>
      </w:r>
      <w:r>
        <w:rPr>
          <w:rFonts w:eastAsia="Times New Roman" w:cs="Calibri"/>
          <w:lang w:eastAsia="en-GB"/>
        </w:rPr>
        <w:t xml:space="preserve"> </w:t>
      </w:r>
      <w:hyperlink w:tgtFrame="_blank" w:history="1" r:id="rId19">
        <w:r>
          <w:rPr>
            <w:rFonts w:eastAsia="Times New Roman" w:cs="Calibri"/>
            <w:color w:val="0000FF"/>
            <w:u w:val="single"/>
            <w:lang w:eastAsia="en-GB"/>
          </w:rPr>
          <w:t>Conflict of Interest Guide</w:t>
        </w:r>
      </w:hyperlink>
      <w:r w:rsidRPr="003A1CE2">
        <w:rPr>
          <w:rFonts w:eastAsia="Times New Roman" w:cs="Calibri"/>
          <w:lang w:eastAsia="en-GB"/>
        </w:rPr>
        <w:t>.</w:t>
      </w:r>
    </w:p>
    <w:p w:rsidRPr="003A1CE2" w:rsidR="003A1CE2" w:rsidP="00440A4C" w:rsidRDefault="003A1CE2" w14:paraId="0A1B051C" w14:textId="55180A90">
      <w:pPr>
        <w:pStyle w:val="NoSpacing"/>
        <w:numPr>
          <w:ilvl w:val="0"/>
          <w:numId w:val="8"/>
        </w:numPr>
        <w:rPr>
          <w:rFonts w:eastAsia="Times New Roman" w:cs="Calibri"/>
          <w:lang w:eastAsia="en-GB"/>
        </w:rPr>
      </w:pPr>
      <w:r w:rsidRPr="003A1CE2">
        <w:rPr>
          <w:rFonts w:eastAsia="Times New Roman" w:cs="Calibri"/>
          <w:lang w:eastAsia="en-GB"/>
        </w:rPr>
        <w:t>Internal scrutiny (e.g., internal audit) includes specific checks on conflicts, related party transactions, and governance controls</w:t>
      </w:r>
      <w:r w:rsidR="00282B1B">
        <w:rPr>
          <w:rFonts w:eastAsia="Times New Roman" w:cs="Calibri"/>
          <w:lang w:eastAsia="en-GB"/>
        </w:rPr>
        <w:t>.</w:t>
      </w:r>
    </w:p>
    <w:p w:rsidRPr="00282B1B" w:rsidR="003A1CE2" w:rsidP="00440A4C" w:rsidRDefault="003A1CE2" w14:paraId="499FB1DA" w14:textId="0AD99EE5">
      <w:pPr>
        <w:pStyle w:val="NoSpacing"/>
        <w:numPr>
          <w:ilvl w:val="0"/>
          <w:numId w:val="8"/>
        </w:numPr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3A1CE2">
        <w:rPr>
          <w:rFonts w:eastAsia="Times New Roman" w:cs="Calibri"/>
          <w:lang w:eastAsia="en-GB"/>
        </w:rPr>
        <w:t xml:space="preserve">Trustees receive </w:t>
      </w:r>
      <w:r w:rsidRPr="003A1CE2">
        <w:rPr>
          <w:rFonts w:eastAsia="Times New Roman" w:cs="Calibri"/>
          <w:b/>
          <w:bCs/>
          <w:lang w:eastAsia="en-GB"/>
        </w:rPr>
        <w:t>induction and refresher training</w:t>
      </w:r>
      <w:r w:rsidRPr="003A1CE2">
        <w:rPr>
          <w:rFonts w:eastAsia="Times New Roman" w:cs="Calibri"/>
          <w:lang w:eastAsia="en-GB"/>
        </w:rPr>
        <w:t xml:space="preserve"> on conflicts of interest and good governa</w:t>
      </w:r>
      <w:r w:rsidR="009F02B1">
        <w:rPr>
          <w:rFonts w:eastAsia="Times New Roman" w:cs="Calibri"/>
          <w:lang w:eastAsia="en-GB"/>
        </w:rPr>
        <w:t xml:space="preserve">nce </w:t>
      </w:r>
      <w:r w:rsidR="00282B1B">
        <w:rPr>
          <w:rFonts w:eastAsia="Times New Roman" w:cs="Calibri"/>
          <w:lang w:eastAsia="en-GB"/>
        </w:rPr>
        <w:t xml:space="preserve">- </w:t>
      </w:r>
      <w:hyperlink w:tgtFrame="_blank" w:history="1" r:id="rId20">
        <w:r w:rsidRPr="000A5D01" w:rsidR="009F02B1">
          <w:rPr>
            <w:rStyle w:val="Hyperlink"/>
            <w:rFonts w:eastAsia="Times New Roman" w:cs="Calibri"/>
            <w:sz w:val="22"/>
            <w:szCs w:val="22"/>
            <w:lang w:eastAsia="en-GB"/>
          </w:rPr>
          <w:t>Governance Guidance</w:t>
        </w:r>
      </w:hyperlink>
    </w:p>
    <w:p w:rsidR="00282B1B" w:rsidP="00282B1B" w:rsidRDefault="00282B1B" w14:paraId="59B17502" w14:textId="34A5A55B">
      <w:pPr>
        <w:pStyle w:val="Heading1"/>
        <w:rPr>
          <w:rFonts w:eastAsia="Times New Roman"/>
          <w:lang w:eastAsia="en-GB"/>
        </w:rPr>
      </w:pPr>
      <w:bookmarkStart w:name="_Toc206421007" w:id="8"/>
      <w:r>
        <w:rPr>
          <w:rFonts w:eastAsia="Times New Roman"/>
          <w:lang w:eastAsia="en-GB"/>
        </w:rPr>
        <w:t>Transparency and Accountability</w:t>
      </w:r>
      <w:bookmarkEnd w:id="8"/>
    </w:p>
    <w:p w:rsidR="00282B1B" w:rsidP="00282B1B" w:rsidRDefault="00282B1B" w14:paraId="51C55F70" w14:textId="36EE41D3">
      <w:pPr>
        <w:pStyle w:val="NoSpacing"/>
        <w:rPr>
          <w:lang w:eastAsia="en-GB"/>
        </w:rPr>
      </w:pPr>
      <w:r>
        <w:rPr>
          <w:lang w:eastAsia="en-GB"/>
        </w:rPr>
        <w:t xml:space="preserve">The Trust will publish: </w:t>
      </w:r>
    </w:p>
    <w:p w:rsidR="00282B1B" w:rsidP="00440A4C" w:rsidRDefault="00282B1B" w14:paraId="6D6009CD" w14:textId="02B465E2">
      <w:pPr>
        <w:pStyle w:val="NoSpacing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Annual audited accounts including disclosures of any trustee or related party benefits </w:t>
      </w:r>
      <w:hyperlink w:history="1" r:id="rId21">
        <w:r>
          <w:rPr>
            <w:rStyle w:val="Hyperlink"/>
            <w:lang w:eastAsia="en-GB"/>
          </w:rPr>
          <w:t>Governance Guidance</w:t>
        </w:r>
      </w:hyperlink>
    </w:p>
    <w:p w:rsidR="00282B1B" w:rsidP="00440A4C" w:rsidRDefault="00282B1B" w14:paraId="667D9836" w14:textId="7687458D">
      <w:pPr>
        <w:pStyle w:val="NoSpacing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On request access to agendas, minutes and relevant documents (excluding confidential personnel or pupil matters) </w:t>
      </w:r>
      <w:hyperlink w:history="1" r:id="rId22">
        <w:r>
          <w:rPr>
            <w:rStyle w:val="Hyperlink"/>
            <w:lang w:eastAsia="en-GB"/>
          </w:rPr>
          <w:t>Academy Trust Handbook</w:t>
        </w:r>
      </w:hyperlink>
    </w:p>
    <w:p w:rsidR="00282B1B" w:rsidP="00282B1B" w:rsidRDefault="00282B1B" w14:paraId="53B7B635" w14:textId="4064C906">
      <w:pPr>
        <w:pStyle w:val="NoSpacing"/>
        <w:rPr>
          <w:lang w:eastAsia="en-GB"/>
        </w:rPr>
      </w:pPr>
      <w:r>
        <w:rPr>
          <w:lang w:eastAsia="en-GB"/>
        </w:rPr>
        <w:t xml:space="preserve">Trustees must be prepared for public and regulatory scrutiny, reflecting the Nolan Principles of </w:t>
      </w:r>
      <w:r w:rsidRPr="00282B1B">
        <w:rPr>
          <w:b/>
          <w:lang w:eastAsia="en-GB"/>
        </w:rPr>
        <w:t>Openness, Accountability</w:t>
      </w:r>
      <w:r>
        <w:rPr>
          <w:lang w:eastAsia="en-GB"/>
        </w:rPr>
        <w:t xml:space="preserve">, and </w:t>
      </w:r>
      <w:r w:rsidRPr="00282B1B">
        <w:rPr>
          <w:b/>
          <w:lang w:eastAsia="en-GB"/>
        </w:rPr>
        <w:t>Honesty</w:t>
      </w:r>
      <w:r>
        <w:rPr>
          <w:lang w:eastAsia="en-GB"/>
        </w:rPr>
        <w:t xml:space="preserve"> </w:t>
      </w:r>
      <w:hyperlink w:history="1" r:id="rId23">
        <w:r>
          <w:rPr>
            <w:rStyle w:val="Hyperlink"/>
            <w:lang w:eastAsia="en-GB"/>
          </w:rPr>
          <w:t>Strategy Leadership Governance</w:t>
        </w:r>
      </w:hyperlink>
    </w:p>
    <w:p w:rsidRPr="00282B1B" w:rsidR="00282B1B" w:rsidP="00282B1B" w:rsidRDefault="00282B1B" w14:paraId="36D99052" w14:textId="2DE322C1">
      <w:pPr>
        <w:pStyle w:val="Heading1"/>
        <w:rPr>
          <w:lang w:eastAsia="en-GB"/>
        </w:rPr>
      </w:pPr>
      <w:bookmarkStart w:name="_Toc206421008" w:id="9"/>
      <w:r>
        <w:rPr>
          <w:lang w:eastAsia="en-GB"/>
        </w:rPr>
        <w:t xml:space="preserve">Breach </w:t>
      </w:r>
      <w:r w:rsidR="005900EE">
        <w:rPr>
          <w:lang w:eastAsia="en-GB"/>
        </w:rPr>
        <w:t>and Remedial Action</w:t>
      </w:r>
      <w:bookmarkEnd w:id="9"/>
    </w:p>
    <w:p w:rsidR="005900EE" w:rsidP="005900EE" w:rsidRDefault="005900EE" w14:paraId="0CC09FDE" w14:textId="7CAD08A1">
      <w:pPr>
        <w:pStyle w:val="NoSpacing"/>
        <w:rPr>
          <w:rFonts w:ascii="Times New Roman" w:hAnsi="Times New Roman" w:eastAsia="Times New Roman"/>
        </w:rPr>
      </w:pPr>
      <w:r>
        <w:t>Any breach of this policy must be reported to the Chair or Governance Lead immediately.</w:t>
      </w:r>
    </w:p>
    <w:p w:rsidR="005900EE" w:rsidP="005900EE" w:rsidRDefault="005900EE" w14:paraId="54C1C158" w14:textId="274E149A">
      <w:pPr>
        <w:pStyle w:val="NoSpacing"/>
      </w:pPr>
      <w:r>
        <w:t>The Board will investigate and may:</w:t>
      </w:r>
    </w:p>
    <w:p w:rsidR="005900EE" w:rsidP="00440A4C" w:rsidRDefault="005900EE" w14:paraId="28232191" w14:textId="79792738">
      <w:pPr>
        <w:pStyle w:val="NoSpacing"/>
        <w:numPr>
          <w:ilvl w:val="0"/>
          <w:numId w:val="10"/>
        </w:numPr>
      </w:pPr>
      <w:r>
        <w:t>Require recusal or resignation of the individual</w:t>
      </w:r>
    </w:p>
    <w:p w:rsidR="005900EE" w:rsidP="00440A4C" w:rsidRDefault="005900EE" w14:paraId="66CB6DEC" w14:textId="37E286EE">
      <w:pPr>
        <w:pStyle w:val="NoSpacing"/>
        <w:numPr>
          <w:ilvl w:val="0"/>
          <w:numId w:val="10"/>
        </w:numPr>
      </w:pPr>
      <w:r>
        <w:t>Reverse or renegotiate affected transactions</w:t>
      </w:r>
    </w:p>
    <w:p w:rsidR="005900EE" w:rsidP="00440A4C" w:rsidRDefault="005900EE" w14:paraId="2544E40F" w14:textId="085F2E68">
      <w:pPr>
        <w:pStyle w:val="NoSpacing"/>
        <w:numPr>
          <w:ilvl w:val="0"/>
          <w:numId w:val="10"/>
        </w:numPr>
      </w:pPr>
      <w:r>
        <w:t>Notify regulators, including the Charity Commission or DfE, where necessary.</w:t>
      </w:r>
    </w:p>
    <w:p w:rsidR="005900EE" w:rsidP="005900EE" w:rsidRDefault="005900EE" w14:paraId="5EEDC773" w14:textId="46840C5F">
      <w:pPr>
        <w:pStyle w:val="NoSpacing"/>
      </w:pPr>
      <w:r>
        <w:t xml:space="preserve">This upholds the Nolan Principles of </w:t>
      </w:r>
      <w:r w:rsidRPr="005900EE">
        <w:rPr>
          <w:b/>
        </w:rPr>
        <w:t>Integrity, Objectivity, Leadership</w:t>
      </w:r>
      <w:r>
        <w:t>, and upholds the Trust’s reputation.</w:t>
      </w:r>
    </w:p>
    <w:p w:rsidR="003A1CE2" w:rsidP="005900EE" w:rsidRDefault="005900EE" w14:paraId="58012183" w14:textId="72097021">
      <w:pPr>
        <w:pStyle w:val="Heading1"/>
        <w:rPr>
          <w:rFonts w:eastAsia="Times New Roman"/>
          <w:lang w:eastAsia="en-GB"/>
        </w:rPr>
      </w:pPr>
      <w:bookmarkStart w:name="_Toc206421009" w:id="10"/>
      <w:r>
        <w:rPr>
          <w:rFonts w:eastAsia="Times New Roman"/>
          <w:lang w:eastAsia="en-GB"/>
        </w:rPr>
        <w:t>Review</w:t>
      </w:r>
      <w:bookmarkEnd w:id="10"/>
      <w:r>
        <w:rPr>
          <w:rFonts w:eastAsia="Times New Roman"/>
          <w:lang w:eastAsia="en-GB"/>
        </w:rPr>
        <w:t xml:space="preserve"> </w:t>
      </w:r>
    </w:p>
    <w:p w:rsidR="005900EE" w:rsidP="005900EE" w:rsidRDefault="005900EE" w14:paraId="1A2D9AFC" w14:textId="39CFF167">
      <w:pPr>
        <w:rPr>
          <w:lang w:eastAsia="en-GB"/>
        </w:rPr>
      </w:pPr>
      <w:r>
        <w:rPr>
          <w:lang w:eastAsia="en-GB"/>
        </w:rPr>
        <w:t xml:space="preserve">The Policy will be reviewed annually or following material regulatory changes or governance reviews. </w:t>
      </w:r>
    </w:p>
    <w:p w:rsidR="005900EE" w:rsidP="005900EE" w:rsidRDefault="005900EE" w14:paraId="796CBE47" w14:textId="78F0B413" w14:noSpellErr="1">
      <w:pPr>
        <w:rPr>
          <w:lang w:eastAsia="en-GB"/>
        </w:rPr>
      </w:pPr>
      <w:r w:rsidRPr="327C719B" w:rsidR="005900EE">
        <w:rPr>
          <w:lang w:eastAsia="en-GB"/>
        </w:rPr>
        <w:t xml:space="preserve">Trusteed </w:t>
      </w:r>
      <w:r w:rsidRPr="327C719B" w:rsidR="005900EE">
        <w:rPr>
          <w:lang w:eastAsia="en-GB"/>
        </w:rPr>
        <w:t>are responsible for</w:t>
      </w:r>
      <w:r w:rsidRPr="327C719B" w:rsidR="005900EE">
        <w:rPr>
          <w:lang w:eastAsia="en-GB"/>
        </w:rPr>
        <w:t xml:space="preserve"> ensuring its application and relevance. </w:t>
      </w:r>
    </w:p>
    <w:p w:rsidR="327C719B" w:rsidP="327C719B" w:rsidRDefault="327C719B" w14:paraId="4FFFB2ED" w14:textId="54D71C3F">
      <w:pPr>
        <w:rPr>
          <w:lang w:eastAsia="en-GB"/>
        </w:rPr>
      </w:pPr>
    </w:p>
    <w:p w:rsidR="327C719B" w:rsidP="327C719B" w:rsidRDefault="327C719B" w14:paraId="395FB9E4" w14:textId="5A61BA09">
      <w:pPr>
        <w:rPr>
          <w:lang w:eastAsia="en-GB"/>
        </w:rPr>
      </w:pPr>
    </w:p>
    <w:p w:rsidR="327C719B" w:rsidP="327C719B" w:rsidRDefault="327C719B" w14:paraId="71F1787F" w14:textId="17928ED7">
      <w:pPr>
        <w:rPr>
          <w:lang w:eastAsia="en-GB"/>
        </w:rPr>
      </w:pPr>
    </w:p>
    <w:p w:rsidR="327C719B" w:rsidP="327C719B" w:rsidRDefault="327C719B" w14:paraId="769E7835" w14:textId="75CD3416">
      <w:pPr>
        <w:rPr>
          <w:lang w:eastAsia="en-GB"/>
        </w:rPr>
      </w:pPr>
    </w:p>
    <w:p w:rsidRPr="005900EE" w:rsidR="003669A4" w:rsidP="005900EE" w:rsidRDefault="003669A4" w14:paraId="45392414" w14:textId="77777777">
      <w:pPr>
        <w:rPr>
          <w:lang w:eastAsia="en-GB"/>
        </w:rPr>
      </w:pPr>
    </w:p>
    <w:p w:rsidR="0090713B" w:rsidP="005900EE" w:rsidRDefault="005900EE" w14:paraId="6DEF9D44" w14:textId="023CE3EB">
      <w:pPr>
        <w:pStyle w:val="Heading2"/>
      </w:pPr>
      <w:bookmarkStart w:name="_Toc206421010" w:id="11"/>
      <w:r>
        <w:lastRenderedPageBreak/>
        <w:t>Summary table</w:t>
      </w:r>
      <w:bookmarkEnd w:id="11"/>
      <w:r>
        <w:t xml:space="preserve"> </w:t>
      </w:r>
    </w:p>
    <w:tbl>
      <w:tblPr>
        <w:tblStyle w:val="GridTable4-Accent1"/>
        <w:tblW w:w="0" w:type="auto"/>
        <w:tblLook w:val="0480" w:firstRow="0" w:lastRow="0" w:firstColumn="1" w:lastColumn="0" w:noHBand="0" w:noVBand="1"/>
      </w:tblPr>
      <w:tblGrid>
        <w:gridCol w:w="2689"/>
        <w:gridCol w:w="6327"/>
      </w:tblGrid>
      <w:tr w:rsidRPr="003669A4" w:rsidR="00E245D7" w:rsidTr="003669A4" w14:paraId="561D64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3669A4" w:rsidR="00E245D7" w:rsidP="00E245D7" w:rsidRDefault="005900EE" w14:paraId="78D33B8C" w14:textId="40618D83">
            <w:pPr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Principle </w:t>
            </w:r>
          </w:p>
        </w:tc>
        <w:tc>
          <w:tcPr>
            <w:tcW w:w="6327" w:type="dxa"/>
          </w:tcPr>
          <w:p w:rsidRPr="003669A4" w:rsidR="00E245D7" w:rsidP="00E245D7" w:rsidRDefault="005900EE" w14:paraId="5AA063B1" w14:textId="51EF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669A4">
              <w:rPr>
                <w:b/>
                <w:sz w:val="22"/>
                <w:szCs w:val="22"/>
              </w:rPr>
              <w:t xml:space="preserve">How is Features in the Policy </w:t>
            </w:r>
          </w:p>
        </w:tc>
      </w:tr>
      <w:tr w:rsidRPr="003669A4" w:rsidR="000638BA" w:rsidTr="003669A4" w14:paraId="452873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3669A4" w:rsidR="000638BA" w:rsidP="000638BA" w:rsidRDefault="005900EE" w14:paraId="40AA3A79" w14:textId="2CC8AB5C">
            <w:pPr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Selflessness </w:t>
            </w:r>
          </w:p>
        </w:tc>
        <w:tc>
          <w:tcPr>
            <w:tcW w:w="6327" w:type="dxa"/>
          </w:tcPr>
          <w:p w:rsidRPr="003669A4" w:rsidR="000638BA" w:rsidP="000638BA" w:rsidRDefault="005900EE" w14:paraId="5D920075" w14:textId="3A6AD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69A4">
              <w:rPr>
                <w:color w:val="000000"/>
                <w:sz w:val="22"/>
                <w:szCs w:val="22"/>
              </w:rPr>
              <w:t>Trustees act solely for the Trust’s public benefit, not personal gain.</w:t>
            </w:r>
          </w:p>
        </w:tc>
      </w:tr>
      <w:tr w:rsidRPr="003669A4" w:rsidR="000638BA" w:rsidTr="003669A4" w14:paraId="6BC8E6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3669A4" w:rsidR="000638BA" w:rsidP="000638BA" w:rsidRDefault="005900EE" w14:paraId="3BEF5D82" w14:textId="3BCA3F5F">
            <w:pPr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Integrity &amp; Objectivity </w:t>
            </w:r>
          </w:p>
        </w:tc>
        <w:tc>
          <w:tcPr>
            <w:tcW w:w="6327" w:type="dxa"/>
          </w:tcPr>
          <w:p w:rsidRPr="003669A4" w:rsidR="000638BA" w:rsidP="000638BA" w:rsidRDefault="005900EE" w14:paraId="68E31C7D" w14:textId="51186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Full Disclosure; independent scrutiny of conflicts </w:t>
            </w:r>
          </w:p>
        </w:tc>
      </w:tr>
      <w:tr w:rsidRPr="003669A4" w:rsidR="000638BA" w:rsidTr="003669A4" w14:paraId="7A4706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3669A4" w:rsidR="000638BA" w:rsidP="000638BA" w:rsidRDefault="003669A4" w14:paraId="15420585" w14:textId="07B9A77D">
            <w:pPr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Accountability &amp; Openness </w:t>
            </w:r>
          </w:p>
        </w:tc>
        <w:tc>
          <w:tcPr>
            <w:tcW w:w="6327" w:type="dxa"/>
          </w:tcPr>
          <w:p w:rsidRPr="003669A4" w:rsidR="000638BA" w:rsidP="000638BA" w:rsidRDefault="003669A4" w14:paraId="20DA85AD" w14:textId="735A4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>Transparent registers, minutes, published documentation, public inspection</w:t>
            </w:r>
          </w:p>
        </w:tc>
      </w:tr>
      <w:tr w:rsidRPr="003669A4" w:rsidR="000638BA" w:rsidTr="003669A4" w14:paraId="241294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3669A4" w:rsidR="000638BA" w:rsidP="000638BA" w:rsidRDefault="003669A4" w14:paraId="11DDC9B6" w14:textId="38D7C349">
            <w:pPr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Honesty &amp; Leadership </w:t>
            </w:r>
          </w:p>
        </w:tc>
        <w:tc>
          <w:tcPr>
            <w:tcW w:w="6327" w:type="dxa"/>
          </w:tcPr>
          <w:p w:rsidRPr="003669A4" w:rsidR="000638BA" w:rsidP="000638BA" w:rsidRDefault="003669A4" w14:paraId="049004BE" w14:textId="40831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Honest declarations and robust leadership in managing and resolving conflicts </w:t>
            </w:r>
          </w:p>
        </w:tc>
      </w:tr>
      <w:tr w:rsidRPr="003669A4" w:rsidR="003669A4" w:rsidTr="003669A4" w14:paraId="5BE506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3669A4" w:rsidR="003669A4" w:rsidP="000638BA" w:rsidRDefault="003669A4" w14:paraId="45D25159" w14:textId="0DE63F76">
            <w:pPr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Statutory Compliance </w:t>
            </w:r>
          </w:p>
        </w:tc>
        <w:tc>
          <w:tcPr>
            <w:tcW w:w="6327" w:type="dxa"/>
          </w:tcPr>
          <w:p w:rsidRPr="003669A4" w:rsidR="003669A4" w:rsidP="000638BA" w:rsidRDefault="003669A4" w14:paraId="3087917C" w14:textId="3AF5F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69A4">
              <w:rPr>
                <w:sz w:val="22"/>
                <w:szCs w:val="22"/>
              </w:rPr>
              <w:t xml:space="preserve">Aligned with the Academy Trust Handbook, DFE Food Practice Guide, and Charity Commission Law. </w:t>
            </w:r>
          </w:p>
        </w:tc>
      </w:tr>
    </w:tbl>
    <w:p w:rsidRPr="00E245D7" w:rsidR="00E245D7" w:rsidP="00E245D7" w:rsidRDefault="00E245D7" w14:paraId="6C3FC611" w14:textId="77777777"/>
    <w:p w:rsidRPr="003669A4" w:rsidR="000638BA" w:rsidP="003669A4" w:rsidRDefault="000638BA" w14:paraId="71F9992F" w14:textId="3F291243">
      <w:pPr>
        <w:spacing w:after="160" w:line="259" w:lineRule="auto"/>
        <w:jc w:val="left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</w:rPr>
      </w:pPr>
    </w:p>
    <w:sectPr w:rsidRPr="003669A4" w:rsidR="000638BA" w:rsidSect="00F82D1B">
      <w:headerReference w:type="default" r:id="rId24"/>
      <w:footerReference w:type="default" r:id="rId25"/>
      <w:headerReference w:type="first" r:id="rId26"/>
      <w:footerReference w:type="first" r:id="rId27"/>
      <w:pgSz w:w="11906" w:h="16838" w:orient="portrait"/>
      <w:pgMar w:top="1985" w:right="1440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A4C" w:rsidP="00093EF0" w:rsidRDefault="00440A4C" w14:paraId="5E085797" w14:textId="77777777">
      <w:r>
        <w:separator/>
      </w:r>
    </w:p>
    <w:p w:rsidR="00440A4C" w:rsidP="00093EF0" w:rsidRDefault="00440A4C" w14:paraId="01151998" w14:textId="77777777"/>
    <w:p w:rsidR="00440A4C" w:rsidP="00093EF0" w:rsidRDefault="00440A4C" w14:paraId="2183989D" w14:textId="77777777"/>
    <w:p w:rsidR="00440A4C" w:rsidP="00D36240" w:rsidRDefault="00440A4C" w14:paraId="508281F2" w14:textId="77777777"/>
  </w:endnote>
  <w:endnote w:type="continuationSeparator" w:id="0">
    <w:p w:rsidR="00440A4C" w:rsidP="00093EF0" w:rsidRDefault="00440A4C" w14:paraId="17EA9E52" w14:textId="77777777">
      <w:r>
        <w:continuationSeparator/>
      </w:r>
    </w:p>
    <w:p w:rsidR="00440A4C" w:rsidP="00093EF0" w:rsidRDefault="00440A4C" w14:paraId="1EC86836" w14:textId="77777777"/>
    <w:p w:rsidR="00440A4C" w:rsidP="00093EF0" w:rsidRDefault="00440A4C" w14:paraId="0952B0D8" w14:textId="77777777"/>
    <w:p w:rsidR="00440A4C" w:rsidP="00D36240" w:rsidRDefault="00440A4C" w14:paraId="4456FE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92"/>
      <w:gridCol w:w="2404"/>
      <w:gridCol w:w="3969"/>
    </w:tblGrid>
    <w:tr w:rsidR="00364C35" w:rsidTr="00F568E5" w14:paraId="76941B8D" w14:textId="77777777">
      <w:trPr>
        <w:jc w:val="center"/>
      </w:trPr>
      <w:tc>
        <w:tcPr>
          <w:tcW w:w="3692" w:type="dxa"/>
        </w:tcPr>
        <w:p w:rsidRPr="00093EF0" w:rsidR="00364C35" w:rsidP="00364C35" w:rsidRDefault="003669A4" w14:paraId="4955CCE8" w14:textId="755D0356">
          <w:pPr>
            <w:pStyle w:val="BasicParagraph"/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</w:pPr>
          <w:r w:rsidRPr="003669A4"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TLT-</w:t>
          </w:r>
          <w:r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SP-024</w:t>
          </w:r>
          <w:r w:rsidRPr="003669A4"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-I Revision 0</w:t>
          </w:r>
        </w:p>
      </w:tc>
      <w:tc>
        <w:tcPr>
          <w:tcW w:w="2404" w:type="dxa"/>
        </w:tcPr>
        <w:sdt>
          <w:sdtPr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id w:val="179393890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alibri" w:hAnsi="Calibri" w:cs="Calibri"/>
                  <w:iCs/>
                  <w:color w:val="0E4F7E"/>
                  <w:spacing w:val="-3"/>
                  <w:sz w:val="20"/>
                  <w:szCs w:val="20"/>
                </w:rPr>
                <w:id w:val="96516580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Pr="00093EF0" w:rsidR="00364C35" w:rsidP="00364C35" w:rsidRDefault="00364C35" w14:paraId="7BA2B0FA" w14:textId="77777777">
                  <w:pPr>
                    <w:pStyle w:val="BasicParagraph"/>
                    <w:jc w:val="center"/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</w:pP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 xml:space="preserve">Page 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begin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instrText>PAGE</w:instrTex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separate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>1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end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 xml:space="preserve"> of 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begin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instrText>NUMPAGES</w:instrTex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separate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>1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969" w:type="dxa"/>
        </w:tcPr>
        <w:p w:rsidRPr="00093EF0" w:rsidR="00364C35" w:rsidP="00364C35" w:rsidRDefault="003669A4" w14:paraId="2B6C58B7" w14:textId="6F34EC50">
          <w:pPr>
            <w:pStyle w:val="BasicParagraph"/>
            <w:jc w:val="right"/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</w:pPr>
          <w:r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Conflicts of Interest Policy for Trustees</w:t>
          </w:r>
        </w:p>
      </w:tc>
    </w:tr>
  </w:tbl>
  <w:p w:rsidRPr="00364C35" w:rsidR="008249C4" w:rsidP="00364C35" w:rsidRDefault="008249C4" w14:paraId="3945EFBF" w14:textId="578E9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92"/>
      <w:gridCol w:w="2404"/>
      <w:gridCol w:w="3969"/>
    </w:tblGrid>
    <w:tr w:rsidR="00F82D1B" w:rsidTr="00F568E5" w14:paraId="509B8484" w14:textId="77777777">
      <w:trPr>
        <w:jc w:val="center"/>
      </w:trPr>
      <w:tc>
        <w:tcPr>
          <w:tcW w:w="3692" w:type="dxa"/>
        </w:tcPr>
        <w:p w:rsidRPr="00093EF0" w:rsidR="00F82D1B" w:rsidP="00F82D1B" w:rsidRDefault="00F82D1B" w14:paraId="289C14B2" w14:textId="691792FA">
          <w:pPr>
            <w:pStyle w:val="BasicParagraph"/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</w:pPr>
          <w:r w:rsidRPr="003669A4"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TLT-</w:t>
          </w:r>
          <w:r w:rsidR="003669A4"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SP-024</w:t>
          </w:r>
          <w:r w:rsidRPr="003669A4"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-I Revision 0</w:t>
          </w:r>
        </w:p>
      </w:tc>
      <w:tc>
        <w:tcPr>
          <w:tcW w:w="2404" w:type="dxa"/>
        </w:tcPr>
        <w:sdt>
          <w:sdtPr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id w:val="-198707630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alibri" w:hAnsi="Calibri" w:cs="Calibri"/>
                  <w:iCs/>
                  <w:color w:val="0E4F7E"/>
                  <w:spacing w:val="-3"/>
                  <w:sz w:val="20"/>
                  <w:szCs w:val="20"/>
                </w:rPr>
                <w:id w:val="-61274870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Pr="00093EF0" w:rsidR="00F82D1B" w:rsidP="00F82D1B" w:rsidRDefault="00F82D1B" w14:paraId="06D2C6D6" w14:textId="77777777">
                  <w:pPr>
                    <w:pStyle w:val="BasicParagraph"/>
                    <w:jc w:val="center"/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</w:pP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 xml:space="preserve">Page 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begin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instrText>PAGE</w:instrTex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separate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>1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end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 xml:space="preserve"> of 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begin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instrText>NUMPAGES</w:instrTex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separate"/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t>1</w:t>
                  </w:r>
                  <w:r w:rsidRPr="00093EF0">
                    <w:rPr>
                      <w:rFonts w:ascii="Calibri" w:hAnsi="Calibri" w:cs="Calibri"/>
                      <w:iCs/>
                      <w:color w:val="0E4F7E"/>
                      <w:spacing w:val="-3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969" w:type="dxa"/>
        </w:tcPr>
        <w:p w:rsidRPr="00093EF0" w:rsidR="00F82D1B" w:rsidP="00F82D1B" w:rsidRDefault="003669A4" w14:paraId="5F22AEDF" w14:textId="10FE527A">
          <w:pPr>
            <w:pStyle w:val="BasicParagraph"/>
            <w:jc w:val="right"/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</w:pPr>
          <w:r>
            <w:rPr>
              <w:rFonts w:ascii="Calibri" w:hAnsi="Calibri" w:cs="Calibri"/>
              <w:iCs/>
              <w:color w:val="0E4F7E"/>
              <w:spacing w:val="-3"/>
              <w:sz w:val="20"/>
              <w:szCs w:val="20"/>
            </w:rPr>
            <w:t>Conflicts of Interest Policy for Trustees</w:t>
          </w:r>
        </w:p>
      </w:tc>
    </w:tr>
  </w:tbl>
  <w:p w:rsidR="00F82D1B" w:rsidRDefault="00F82D1B" w14:paraId="518A5AEA" w14:textId="39A68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A4C" w:rsidP="00093EF0" w:rsidRDefault="00440A4C" w14:paraId="40931CB0" w14:textId="77777777">
      <w:r>
        <w:separator/>
      </w:r>
    </w:p>
    <w:p w:rsidR="00440A4C" w:rsidP="00093EF0" w:rsidRDefault="00440A4C" w14:paraId="66C069AC" w14:textId="77777777"/>
    <w:p w:rsidR="00440A4C" w:rsidP="00093EF0" w:rsidRDefault="00440A4C" w14:paraId="7EA2CE3D" w14:textId="77777777"/>
    <w:p w:rsidR="00440A4C" w:rsidP="00D36240" w:rsidRDefault="00440A4C" w14:paraId="46CEE36F" w14:textId="77777777"/>
  </w:footnote>
  <w:footnote w:type="continuationSeparator" w:id="0">
    <w:p w:rsidR="00440A4C" w:rsidP="00093EF0" w:rsidRDefault="00440A4C" w14:paraId="0969163A" w14:textId="77777777">
      <w:r>
        <w:continuationSeparator/>
      </w:r>
    </w:p>
    <w:p w:rsidR="00440A4C" w:rsidP="00093EF0" w:rsidRDefault="00440A4C" w14:paraId="1F865343" w14:textId="77777777"/>
    <w:p w:rsidR="00440A4C" w:rsidP="00093EF0" w:rsidRDefault="00440A4C" w14:paraId="7F3500E9" w14:textId="77777777"/>
    <w:p w:rsidR="00440A4C" w:rsidP="00D36240" w:rsidRDefault="00440A4C" w14:paraId="2F70E7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82D1B" w:rsidR="008249C4" w:rsidP="00F82D1B" w:rsidRDefault="00DB6287" w14:paraId="3B5DF206" w14:textId="15084CF9">
    <w:pPr>
      <w:pStyle w:val="Header"/>
      <w:jc w:val="right"/>
    </w:pPr>
    <w:r>
      <w:rPr>
        <w:rFonts w:cs="Calibri"/>
        <w:iCs/>
        <w:noProof/>
        <w:color w:val="0E4F7E"/>
        <w:spacing w:val="-3"/>
        <w:sz w:val="20"/>
        <w:szCs w:val="20"/>
      </w:rPr>
      <w:drawing>
        <wp:anchor distT="0" distB="0" distL="114300" distR="114300" simplePos="0" relativeHeight="251660288" behindDoc="1" locked="0" layoutInCell="1" allowOverlap="1" wp14:anchorId="3469E1DC" wp14:editId="054DF43D">
          <wp:simplePos x="0" y="0"/>
          <wp:positionH relativeFrom="column">
            <wp:posOffset>180975</wp:posOffset>
          </wp:positionH>
          <wp:positionV relativeFrom="paragraph">
            <wp:posOffset>4796790</wp:posOffset>
          </wp:positionV>
          <wp:extent cx="7112635" cy="61791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635" cy="61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D1B">
      <w:rPr>
        <w:noProof/>
      </w:rPr>
      <w:drawing>
        <wp:inline distT="0" distB="0" distL="0" distR="0" wp14:anchorId="4BF76CC7" wp14:editId="4A0AB0F5">
          <wp:extent cx="2376798" cy="722045"/>
          <wp:effectExtent l="0" t="0" r="508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119" cy="74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E5198" w:rsidRDefault="00DB6287" w14:paraId="0D7B16EC" w14:textId="45BA4B2B">
    <w:pPr>
      <w:pStyle w:val="Header"/>
    </w:pPr>
    <w:r>
      <w:rPr>
        <w:rFonts w:cs="Calibri"/>
        <w:iCs/>
        <w:noProof/>
        <w:color w:val="0E4F7E"/>
        <w:spacing w:val="-3"/>
        <w:sz w:val="20"/>
        <w:szCs w:val="20"/>
      </w:rPr>
      <w:drawing>
        <wp:anchor distT="0" distB="0" distL="114300" distR="114300" simplePos="0" relativeHeight="251658240" behindDoc="1" locked="0" layoutInCell="1" allowOverlap="1" wp14:anchorId="2765E5BB" wp14:editId="277CC56F">
          <wp:simplePos x="0" y="0"/>
          <wp:positionH relativeFrom="column">
            <wp:posOffset>171450</wp:posOffset>
          </wp:positionH>
          <wp:positionV relativeFrom="paragraph">
            <wp:posOffset>4865370</wp:posOffset>
          </wp:positionV>
          <wp:extent cx="7112635" cy="61791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635" cy="61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C00"/>
    <w:multiLevelType w:val="hybridMultilevel"/>
    <w:tmpl w:val="85C200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867705"/>
    <w:multiLevelType w:val="hybridMultilevel"/>
    <w:tmpl w:val="89666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6857FA"/>
    <w:multiLevelType w:val="hybridMultilevel"/>
    <w:tmpl w:val="BAF4C236"/>
    <w:lvl w:ilvl="0" w:tplc="3800ACC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A04"/>
    <w:multiLevelType w:val="hybridMultilevel"/>
    <w:tmpl w:val="08E81E2E"/>
    <w:lvl w:ilvl="0" w:tplc="194E0BE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0E2BE0"/>
    <w:multiLevelType w:val="hybridMultilevel"/>
    <w:tmpl w:val="E6F49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FC5A74"/>
    <w:multiLevelType w:val="hybridMultilevel"/>
    <w:tmpl w:val="B0F64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EB319D"/>
    <w:multiLevelType w:val="hybridMultilevel"/>
    <w:tmpl w:val="3ED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6D4158"/>
    <w:multiLevelType w:val="hybridMultilevel"/>
    <w:tmpl w:val="1D2A2E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7F69C1"/>
    <w:multiLevelType w:val="hybridMultilevel"/>
    <w:tmpl w:val="BCC09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4"/>
    <w:rsid w:val="000002D0"/>
    <w:rsid w:val="00004AED"/>
    <w:rsid w:val="00023E7B"/>
    <w:rsid w:val="00027657"/>
    <w:rsid w:val="00042006"/>
    <w:rsid w:val="00046499"/>
    <w:rsid w:val="00052E6C"/>
    <w:rsid w:val="00054AE4"/>
    <w:rsid w:val="000564D8"/>
    <w:rsid w:val="000607D7"/>
    <w:rsid w:val="00060968"/>
    <w:rsid w:val="000638BA"/>
    <w:rsid w:val="00071F88"/>
    <w:rsid w:val="00083FD9"/>
    <w:rsid w:val="00093E32"/>
    <w:rsid w:val="00093EF0"/>
    <w:rsid w:val="000A2B92"/>
    <w:rsid w:val="000A7575"/>
    <w:rsid w:val="000A7E55"/>
    <w:rsid w:val="000B5460"/>
    <w:rsid w:val="000C0425"/>
    <w:rsid w:val="000C0549"/>
    <w:rsid w:val="000C5C1A"/>
    <w:rsid w:val="000C77D7"/>
    <w:rsid w:val="000D0C12"/>
    <w:rsid w:val="000E5C0B"/>
    <w:rsid w:val="000E7AE8"/>
    <w:rsid w:val="000F29B7"/>
    <w:rsid w:val="000F4B74"/>
    <w:rsid w:val="00107B9C"/>
    <w:rsid w:val="0011504A"/>
    <w:rsid w:val="00125D5D"/>
    <w:rsid w:val="00137213"/>
    <w:rsid w:val="00141185"/>
    <w:rsid w:val="0015173D"/>
    <w:rsid w:val="00156DAD"/>
    <w:rsid w:val="0015712D"/>
    <w:rsid w:val="00162919"/>
    <w:rsid w:val="001658F4"/>
    <w:rsid w:val="00172D15"/>
    <w:rsid w:val="00174422"/>
    <w:rsid w:val="0018345E"/>
    <w:rsid w:val="00192420"/>
    <w:rsid w:val="001947A9"/>
    <w:rsid w:val="0019696E"/>
    <w:rsid w:val="001C3716"/>
    <w:rsid w:val="001C68BC"/>
    <w:rsid w:val="001E4631"/>
    <w:rsid w:val="001F59CD"/>
    <w:rsid w:val="001F7DD5"/>
    <w:rsid w:val="001F7EC3"/>
    <w:rsid w:val="00203843"/>
    <w:rsid w:val="0020432A"/>
    <w:rsid w:val="00214934"/>
    <w:rsid w:val="0021777D"/>
    <w:rsid w:val="00223564"/>
    <w:rsid w:val="0022507B"/>
    <w:rsid w:val="00225892"/>
    <w:rsid w:val="00233828"/>
    <w:rsid w:val="00233BE4"/>
    <w:rsid w:val="00235A73"/>
    <w:rsid w:val="00236DFF"/>
    <w:rsid w:val="00242112"/>
    <w:rsid w:val="00247FB8"/>
    <w:rsid w:val="00266A66"/>
    <w:rsid w:val="0028126A"/>
    <w:rsid w:val="00282165"/>
    <w:rsid w:val="00282B1B"/>
    <w:rsid w:val="002911C2"/>
    <w:rsid w:val="00295733"/>
    <w:rsid w:val="00297341"/>
    <w:rsid w:val="002A3808"/>
    <w:rsid w:val="002B649B"/>
    <w:rsid w:val="002C25BB"/>
    <w:rsid w:val="002D6B53"/>
    <w:rsid w:val="002D6E60"/>
    <w:rsid w:val="002D722F"/>
    <w:rsid w:val="002E5420"/>
    <w:rsid w:val="002E67EB"/>
    <w:rsid w:val="00300B70"/>
    <w:rsid w:val="00304587"/>
    <w:rsid w:val="0030574F"/>
    <w:rsid w:val="00306286"/>
    <w:rsid w:val="00306CFF"/>
    <w:rsid w:val="00311E38"/>
    <w:rsid w:val="00312829"/>
    <w:rsid w:val="0031774D"/>
    <w:rsid w:val="00321E9D"/>
    <w:rsid w:val="00327B9C"/>
    <w:rsid w:val="00332145"/>
    <w:rsid w:val="00341130"/>
    <w:rsid w:val="0035575E"/>
    <w:rsid w:val="00363B01"/>
    <w:rsid w:val="003643A4"/>
    <w:rsid w:val="00364C35"/>
    <w:rsid w:val="003669A4"/>
    <w:rsid w:val="003810BD"/>
    <w:rsid w:val="00384A22"/>
    <w:rsid w:val="003865EA"/>
    <w:rsid w:val="00397A92"/>
    <w:rsid w:val="003A1CE2"/>
    <w:rsid w:val="003A2149"/>
    <w:rsid w:val="003A2204"/>
    <w:rsid w:val="003C2D09"/>
    <w:rsid w:val="003C69CF"/>
    <w:rsid w:val="003E3A70"/>
    <w:rsid w:val="003E5198"/>
    <w:rsid w:val="004056AD"/>
    <w:rsid w:val="004152CB"/>
    <w:rsid w:val="004155E0"/>
    <w:rsid w:val="004171F2"/>
    <w:rsid w:val="00426958"/>
    <w:rsid w:val="00426975"/>
    <w:rsid w:val="00437165"/>
    <w:rsid w:val="0043735B"/>
    <w:rsid w:val="00440A4C"/>
    <w:rsid w:val="004558A9"/>
    <w:rsid w:val="00462E13"/>
    <w:rsid w:val="004652A5"/>
    <w:rsid w:val="00467175"/>
    <w:rsid w:val="00470499"/>
    <w:rsid w:val="00471BC6"/>
    <w:rsid w:val="00471E99"/>
    <w:rsid w:val="00473224"/>
    <w:rsid w:val="00491A4F"/>
    <w:rsid w:val="0049639D"/>
    <w:rsid w:val="004967AA"/>
    <w:rsid w:val="004C5315"/>
    <w:rsid w:val="004D12DE"/>
    <w:rsid w:val="004D5FC8"/>
    <w:rsid w:val="004D6126"/>
    <w:rsid w:val="004E2DA6"/>
    <w:rsid w:val="00502224"/>
    <w:rsid w:val="005142F5"/>
    <w:rsid w:val="005147C8"/>
    <w:rsid w:val="00522BFA"/>
    <w:rsid w:val="00532AA9"/>
    <w:rsid w:val="0054143C"/>
    <w:rsid w:val="0054201B"/>
    <w:rsid w:val="00542D7F"/>
    <w:rsid w:val="00545F37"/>
    <w:rsid w:val="00550B6E"/>
    <w:rsid w:val="00556A63"/>
    <w:rsid w:val="00567D73"/>
    <w:rsid w:val="00575755"/>
    <w:rsid w:val="005811E6"/>
    <w:rsid w:val="005900EE"/>
    <w:rsid w:val="005915F6"/>
    <w:rsid w:val="0059442C"/>
    <w:rsid w:val="005A0216"/>
    <w:rsid w:val="005A7B2C"/>
    <w:rsid w:val="005B52A2"/>
    <w:rsid w:val="005B71A4"/>
    <w:rsid w:val="005C461B"/>
    <w:rsid w:val="005C7164"/>
    <w:rsid w:val="005D7474"/>
    <w:rsid w:val="005E2419"/>
    <w:rsid w:val="005E4547"/>
    <w:rsid w:val="005E5A18"/>
    <w:rsid w:val="005F0D73"/>
    <w:rsid w:val="005F73EB"/>
    <w:rsid w:val="005F7B11"/>
    <w:rsid w:val="005F7FE9"/>
    <w:rsid w:val="00614286"/>
    <w:rsid w:val="006241AE"/>
    <w:rsid w:val="00627E43"/>
    <w:rsid w:val="006319A5"/>
    <w:rsid w:val="006363F4"/>
    <w:rsid w:val="00641280"/>
    <w:rsid w:val="00646A06"/>
    <w:rsid w:val="006470AF"/>
    <w:rsid w:val="00650848"/>
    <w:rsid w:val="0065332D"/>
    <w:rsid w:val="00655C6F"/>
    <w:rsid w:val="00681D4C"/>
    <w:rsid w:val="006866C9"/>
    <w:rsid w:val="0069500F"/>
    <w:rsid w:val="006A055A"/>
    <w:rsid w:val="006B67C8"/>
    <w:rsid w:val="006D2828"/>
    <w:rsid w:val="006D3425"/>
    <w:rsid w:val="006E268D"/>
    <w:rsid w:val="006F6079"/>
    <w:rsid w:val="00704B52"/>
    <w:rsid w:val="00710133"/>
    <w:rsid w:val="00711E85"/>
    <w:rsid w:val="00715DCF"/>
    <w:rsid w:val="00727468"/>
    <w:rsid w:val="00740BC3"/>
    <w:rsid w:val="00741C04"/>
    <w:rsid w:val="007434AC"/>
    <w:rsid w:val="00752C16"/>
    <w:rsid w:val="0075456B"/>
    <w:rsid w:val="00755773"/>
    <w:rsid w:val="00755F16"/>
    <w:rsid w:val="00763788"/>
    <w:rsid w:val="00763F0C"/>
    <w:rsid w:val="00767E60"/>
    <w:rsid w:val="00770EBA"/>
    <w:rsid w:val="00772D7A"/>
    <w:rsid w:val="007762F9"/>
    <w:rsid w:val="00783C34"/>
    <w:rsid w:val="007932C8"/>
    <w:rsid w:val="007936DB"/>
    <w:rsid w:val="00794A80"/>
    <w:rsid w:val="007A571C"/>
    <w:rsid w:val="007D100E"/>
    <w:rsid w:val="007E753F"/>
    <w:rsid w:val="007F61E8"/>
    <w:rsid w:val="0080269D"/>
    <w:rsid w:val="00806502"/>
    <w:rsid w:val="008248A0"/>
    <w:rsid w:val="008249C4"/>
    <w:rsid w:val="0082731B"/>
    <w:rsid w:val="00831884"/>
    <w:rsid w:val="008459A6"/>
    <w:rsid w:val="00852D15"/>
    <w:rsid w:val="00860BB7"/>
    <w:rsid w:val="00871517"/>
    <w:rsid w:val="00873090"/>
    <w:rsid w:val="00886C29"/>
    <w:rsid w:val="00890222"/>
    <w:rsid w:val="008D2BF5"/>
    <w:rsid w:val="008E5FC9"/>
    <w:rsid w:val="008F0E55"/>
    <w:rsid w:val="0090690C"/>
    <w:rsid w:val="0090713B"/>
    <w:rsid w:val="00911A94"/>
    <w:rsid w:val="0091709E"/>
    <w:rsid w:val="009176B7"/>
    <w:rsid w:val="009261C2"/>
    <w:rsid w:val="00934108"/>
    <w:rsid w:val="009348D6"/>
    <w:rsid w:val="009375A3"/>
    <w:rsid w:val="00940183"/>
    <w:rsid w:val="00942422"/>
    <w:rsid w:val="0094577B"/>
    <w:rsid w:val="00945C25"/>
    <w:rsid w:val="00964646"/>
    <w:rsid w:val="009655D8"/>
    <w:rsid w:val="00972B75"/>
    <w:rsid w:val="00973E10"/>
    <w:rsid w:val="00976370"/>
    <w:rsid w:val="00986217"/>
    <w:rsid w:val="009937BC"/>
    <w:rsid w:val="00997DF2"/>
    <w:rsid w:val="009A2551"/>
    <w:rsid w:val="009A56F2"/>
    <w:rsid w:val="009B1D6A"/>
    <w:rsid w:val="009C0EF0"/>
    <w:rsid w:val="009C3E06"/>
    <w:rsid w:val="009C5006"/>
    <w:rsid w:val="009D0A62"/>
    <w:rsid w:val="009E0362"/>
    <w:rsid w:val="009F02B1"/>
    <w:rsid w:val="009F5A15"/>
    <w:rsid w:val="00A00E6F"/>
    <w:rsid w:val="00A079C1"/>
    <w:rsid w:val="00A13019"/>
    <w:rsid w:val="00A150D9"/>
    <w:rsid w:val="00A22069"/>
    <w:rsid w:val="00A23507"/>
    <w:rsid w:val="00A33E8B"/>
    <w:rsid w:val="00A35D42"/>
    <w:rsid w:val="00A37ABF"/>
    <w:rsid w:val="00A437C8"/>
    <w:rsid w:val="00A47943"/>
    <w:rsid w:val="00A52FD0"/>
    <w:rsid w:val="00A55448"/>
    <w:rsid w:val="00A5596C"/>
    <w:rsid w:val="00A60965"/>
    <w:rsid w:val="00A72469"/>
    <w:rsid w:val="00A7252C"/>
    <w:rsid w:val="00A72D4D"/>
    <w:rsid w:val="00A77B3B"/>
    <w:rsid w:val="00A903D2"/>
    <w:rsid w:val="00AA21D6"/>
    <w:rsid w:val="00AB39DD"/>
    <w:rsid w:val="00AB62AB"/>
    <w:rsid w:val="00AB77F0"/>
    <w:rsid w:val="00AC2DE4"/>
    <w:rsid w:val="00AD6196"/>
    <w:rsid w:val="00AF2BF9"/>
    <w:rsid w:val="00B0187E"/>
    <w:rsid w:val="00B03DB6"/>
    <w:rsid w:val="00B1692C"/>
    <w:rsid w:val="00B300B7"/>
    <w:rsid w:val="00B32B96"/>
    <w:rsid w:val="00B45A61"/>
    <w:rsid w:val="00B52221"/>
    <w:rsid w:val="00B56C91"/>
    <w:rsid w:val="00B65621"/>
    <w:rsid w:val="00B6786C"/>
    <w:rsid w:val="00B72183"/>
    <w:rsid w:val="00B76738"/>
    <w:rsid w:val="00B8099A"/>
    <w:rsid w:val="00B80ABF"/>
    <w:rsid w:val="00B823B9"/>
    <w:rsid w:val="00B8418C"/>
    <w:rsid w:val="00B861A4"/>
    <w:rsid w:val="00B91DA5"/>
    <w:rsid w:val="00B9257F"/>
    <w:rsid w:val="00B9284B"/>
    <w:rsid w:val="00B92954"/>
    <w:rsid w:val="00B9738A"/>
    <w:rsid w:val="00BA0ED5"/>
    <w:rsid w:val="00BA24D7"/>
    <w:rsid w:val="00BA3F55"/>
    <w:rsid w:val="00BA4106"/>
    <w:rsid w:val="00BB12AF"/>
    <w:rsid w:val="00BC1BAC"/>
    <w:rsid w:val="00BD06DB"/>
    <w:rsid w:val="00BE526F"/>
    <w:rsid w:val="00BE62C5"/>
    <w:rsid w:val="00BF1682"/>
    <w:rsid w:val="00BF50B0"/>
    <w:rsid w:val="00C02415"/>
    <w:rsid w:val="00C1043F"/>
    <w:rsid w:val="00C15B6F"/>
    <w:rsid w:val="00C219DA"/>
    <w:rsid w:val="00C34BF7"/>
    <w:rsid w:val="00C412ED"/>
    <w:rsid w:val="00C45FA7"/>
    <w:rsid w:val="00C5160D"/>
    <w:rsid w:val="00C54918"/>
    <w:rsid w:val="00C636D4"/>
    <w:rsid w:val="00C7325E"/>
    <w:rsid w:val="00C76D21"/>
    <w:rsid w:val="00C87FFB"/>
    <w:rsid w:val="00CA5E5C"/>
    <w:rsid w:val="00CB368C"/>
    <w:rsid w:val="00CC527D"/>
    <w:rsid w:val="00CC7480"/>
    <w:rsid w:val="00CD2A37"/>
    <w:rsid w:val="00CD6F6F"/>
    <w:rsid w:val="00CE0720"/>
    <w:rsid w:val="00CE5E05"/>
    <w:rsid w:val="00CF0A12"/>
    <w:rsid w:val="00D058D4"/>
    <w:rsid w:val="00D11C96"/>
    <w:rsid w:val="00D14721"/>
    <w:rsid w:val="00D14873"/>
    <w:rsid w:val="00D14FEC"/>
    <w:rsid w:val="00D25B7A"/>
    <w:rsid w:val="00D311CB"/>
    <w:rsid w:val="00D36240"/>
    <w:rsid w:val="00D36D1C"/>
    <w:rsid w:val="00D46046"/>
    <w:rsid w:val="00D4698E"/>
    <w:rsid w:val="00D67E83"/>
    <w:rsid w:val="00D751BF"/>
    <w:rsid w:val="00D841C6"/>
    <w:rsid w:val="00D925C9"/>
    <w:rsid w:val="00DA1C21"/>
    <w:rsid w:val="00DA4C5D"/>
    <w:rsid w:val="00DB6287"/>
    <w:rsid w:val="00DD055F"/>
    <w:rsid w:val="00DD6283"/>
    <w:rsid w:val="00DE28B8"/>
    <w:rsid w:val="00DF1F99"/>
    <w:rsid w:val="00DF396A"/>
    <w:rsid w:val="00E01564"/>
    <w:rsid w:val="00E01FFA"/>
    <w:rsid w:val="00E115F3"/>
    <w:rsid w:val="00E13483"/>
    <w:rsid w:val="00E13B23"/>
    <w:rsid w:val="00E175EC"/>
    <w:rsid w:val="00E245D7"/>
    <w:rsid w:val="00E2525C"/>
    <w:rsid w:val="00E45A4C"/>
    <w:rsid w:val="00E5138C"/>
    <w:rsid w:val="00E52DC4"/>
    <w:rsid w:val="00E60988"/>
    <w:rsid w:val="00E620D3"/>
    <w:rsid w:val="00E621FC"/>
    <w:rsid w:val="00E662E5"/>
    <w:rsid w:val="00E70DF3"/>
    <w:rsid w:val="00E729D8"/>
    <w:rsid w:val="00E95EC4"/>
    <w:rsid w:val="00EA1EB7"/>
    <w:rsid w:val="00EA3362"/>
    <w:rsid w:val="00EB299E"/>
    <w:rsid w:val="00EB7B07"/>
    <w:rsid w:val="00EC1EB3"/>
    <w:rsid w:val="00EC3956"/>
    <w:rsid w:val="00EC40B7"/>
    <w:rsid w:val="00EC6364"/>
    <w:rsid w:val="00EC69F6"/>
    <w:rsid w:val="00ED4AFE"/>
    <w:rsid w:val="00EE24DC"/>
    <w:rsid w:val="00EE3493"/>
    <w:rsid w:val="00EF1ABA"/>
    <w:rsid w:val="00EF4A22"/>
    <w:rsid w:val="00EF4D1F"/>
    <w:rsid w:val="00EF5789"/>
    <w:rsid w:val="00F0396A"/>
    <w:rsid w:val="00F1200C"/>
    <w:rsid w:val="00F21C54"/>
    <w:rsid w:val="00F30101"/>
    <w:rsid w:val="00F41691"/>
    <w:rsid w:val="00F42CB3"/>
    <w:rsid w:val="00F45891"/>
    <w:rsid w:val="00F50210"/>
    <w:rsid w:val="00F50D48"/>
    <w:rsid w:val="00F5394C"/>
    <w:rsid w:val="00F568E5"/>
    <w:rsid w:val="00F6716D"/>
    <w:rsid w:val="00F707AA"/>
    <w:rsid w:val="00F709AB"/>
    <w:rsid w:val="00F82D1B"/>
    <w:rsid w:val="00F859B2"/>
    <w:rsid w:val="00FA4539"/>
    <w:rsid w:val="00FA723C"/>
    <w:rsid w:val="00FB59F4"/>
    <w:rsid w:val="00FC3B4E"/>
    <w:rsid w:val="00FD305B"/>
    <w:rsid w:val="00FE3E5F"/>
    <w:rsid w:val="00FF07FD"/>
    <w:rsid w:val="00FF6C48"/>
    <w:rsid w:val="04AB7A96"/>
    <w:rsid w:val="0528D57D"/>
    <w:rsid w:val="1D2BAF04"/>
    <w:rsid w:val="1E877A0C"/>
    <w:rsid w:val="327C719B"/>
    <w:rsid w:val="3BAEC983"/>
    <w:rsid w:val="50A33060"/>
    <w:rsid w:val="62F76A7E"/>
    <w:rsid w:val="650E87C6"/>
    <w:rsid w:val="6BF436F1"/>
    <w:rsid w:val="7A18A478"/>
    <w:rsid w:val="7C9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FDB18"/>
  <w15:chartTrackingRefBased/>
  <w15:docId w15:val="{FDE46769-DDF4-44B6-B156-9B84EAA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36240"/>
    <w:pPr>
      <w:spacing w:after="120" w:line="240" w:lineRule="auto"/>
      <w:jc w:val="both"/>
    </w:pPr>
    <w:rPr>
      <w:rFonts w:ascii="Calibri" w:hAnsi="Calibri" w:eastAsiaTheme="minorEastAsia"/>
      <w:sz w:val="24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99E"/>
    <w:pPr>
      <w:numPr>
        <w:numId w:val="1"/>
      </w:numPr>
      <w:spacing w:before="240"/>
      <w:jc w:val="left"/>
      <w:outlineLvl w:val="0"/>
    </w:pPr>
    <w:rPr>
      <w:b/>
      <w:color w:val="005493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12D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EF7D3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3F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309FA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1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5B71A4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aliases w:val="Customisable document title Char"/>
    <w:basedOn w:val="DefaultParagraphFont"/>
    <w:link w:val="Header"/>
    <w:uiPriority w:val="99"/>
    <w:rsid w:val="005B71A4"/>
  </w:style>
  <w:style w:type="paragraph" w:styleId="Footer">
    <w:name w:val="footer"/>
    <w:basedOn w:val="Normal"/>
    <w:link w:val="FooterChar"/>
    <w:uiPriority w:val="99"/>
    <w:unhideWhenUsed/>
    <w:rsid w:val="005B71A4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B71A4"/>
  </w:style>
  <w:style w:type="paragraph" w:styleId="BasicParagraph" w:customStyle="1">
    <w:name w:val="[Basic Paragraph]"/>
    <w:basedOn w:val="Normal"/>
    <w:uiPriority w:val="99"/>
    <w:rsid w:val="005B71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table" w:styleId="TableGrid">
    <w:name w:val="Table Grid"/>
    <w:basedOn w:val="TableNormal"/>
    <w:uiPriority w:val="59"/>
    <w:rsid w:val="005B71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EB299E"/>
    <w:rPr>
      <w:rFonts w:ascii="Calibri" w:hAnsi="Calibri" w:eastAsiaTheme="minorEastAsia"/>
      <w:b/>
      <w:color w:val="005493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093EF0"/>
    <w:pPr>
      <w:numPr>
        <w:numId w:val="0"/>
      </w:numPr>
      <w:jc w:val="center"/>
    </w:pPr>
    <w:rPr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sid w:val="00093EF0"/>
    <w:rPr>
      <w:rFonts w:ascii="Calibri" w:hAnsi="Calibri" w:eastAsiaTheme="minorEastAsia"/>
      <w:b/>
      <w:color w:val="005493"/>
      <w:sz w:val="40"/>
      <w:szCs w:val="40"/>
    </w:rPr>
  </w:style>
  <w:style w:type="paragraph" w:styleId="NoSpacing">
    <w:name w:val="No Spacing"/>
    <w:uiPriority w:val="1"/>
    <w:qFormat/>
    <w:rsid w:val="000002D0"/>
    <w:pPr>
      <w:spacing w:after="0" w:line="240" w:lineRule="auto"/>
      <w:jc w:val="both"/>
    </w:pPr>
    <w:rPr>
      <w:rFonts w:ascii="Calibri" w:hAnsi="Calibri" w:eastAsiaTheme="minorEastAsia"/>
      <w:sz w:val="24"/>
      <w:szCs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93EF0"/>
    <w:pPr>
      <w:numPr>
        <w:numId w:val="0"/>
      </w:numPr>
    </w:pPr>
  </w:style>
  <w:style w:type="character" w:styleId="SubtitleChar" w:customStyle="1">
    <w:name w:val="Subtitle Char"/>
    <w:basedOn w:val="DefaultParagraphFont"/>
    <w:link w:val="Subtitle"/>
    <w:uiPriority w:val="11"/>
    <w:rsid w:val="00093EF0"/>
    <w:rPr>
      <w:rFonts w:ascii="Calibri" w:hAnsi="Calibri" w:eastAsiaTheme="minorEastAsia"/>
      <w:b/>
      <w:color w:val="005493"/>
      <w:sz w:val="28"/>
      <w:szCs w:val="28"/>
    </w:rPr>
  </w:style>
  <w:style w:type="table" w:styleId="GridTable4-Accent1">
    <w:name w:val="Grid Table 4 Accent 1"/>
    <w:basedOn w:val="TableNormal"/>
    <w:uiPriority w:val="49"/>
    <w:rsid w:val="00093EF0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rsid w:val="00783C34"/>
    <w:pPr>
      <w:widowControl w:val="0"/>
      <w:autoSpaceDE w:val="0"/>
      <w:autoSpaceDN w:val="0"/>
      <w:spacing w:after="0"/>
      <w:ind w:left="120"/>
      <w:jc w:val="left"/>
    </w:pPr>
    <w:rPr>
      <w:rFonts w:ascii="Arial" w:hAnsi="Arial" w:eastAsia="Arial" w:cs="Arial"/>
      <w:sz w:val="22"/>
      <w:szCs w:val="22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783C34"/>
    <w:rPr>
      <w:rFonts w:ascii="Arial" w:hAnsi="Arial"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740BC3"/>
    <w:pPr>
      <w:widowControl w:val="0"/>
      <w:autoSpaceDE w:val="0"/>
      <w:autoSpaceDN w:val="0"/>
      <w:ind w:left="261" w:hanging="142"/>
      <w:jc w:val="left"/>
    </w:pPr>
    <w:rPr>
      <w:rFonts w:eastAsia="Arial" w:cs="Arial" w:asciiTheme="minorHAnsi" w:hAnsiTheme="minorHAns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12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5712D"/>
    <w:rPr>
      <w:rFonts w:ascii="Calibri" w:hAnsi="Calibri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1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712D"/>
    <w:rPr>
      <w:rFonts w:ascii="Calibri" w:hAnsi="Calibri" w:eastAsiaTheme="minorEastAsia"/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4D12DE"/>
    <w:rPr>
      <w:rFonts w:asciiTheme="majorHAnsi" w:hAnsiTheme="majorHAnsi" w:eastAsiaTheme="majorEastAsia" w:cstheme="majorBidi"/>
      <w:b/>
      <w:color w:val="EF7D3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363F4"/>
    <w:rPr>
      <w:rFonts w:asciiTheme="majorHAnsi" w:hAnsiTheme="majorHAnsi" w:eastAsiaTheme="majorEastAsia" w:cstheme="majorBidi"/>
      <w:b/>
      <w:color w:val="309FA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4201B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575755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5757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75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575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75755"/>
    <w:rPr>
      <w:color w:val="0563C1" w:themeColor="hyperlink"/>
      <w:u w:val="single"/>
    </w:rPr>
  </w:style>
  <w:style w:type="paragraph" w:styleId="MainText" w:customStyle="1">
    <w:name w:val="Main Text"/>
    <w:basedOn w:val="Normal"/>
    <w:link w:val="MainTextChar"/>
    <w:rsid w:val="00306CFF"/>
    <w:pPr>
      <w:spacing w:after="0"/>
    </w:pPr>
    <w:rPr>
      <w:rFonts w:ascii="Garamond" w:hAnsi="Garamond" w:cs="Arial" w:eastAsiaTheme="minorHAnsi"/>
      <w:color w:val="615C5D"/>
      <w:sz w:val="20"/>
      <w:szCs w:val="22"/>
    </w:rPr>
  </w:style>
  <w:style w:type="character" w:styleId="MainTextChar" w:customStyle="1">
    <w:name w:val="Main Text Char"/>
    <w:basedOn w:val="DefaultParagraphFont"/>
    <w:link w:val="MainText"/>
    <w:rsid w:val="00306CFF"/>
    <w:rPr>
      <w:rFonts w:ascii="Garamond" w:hAnsi="Garamond" w:cs="Arial"/>
      <w:color w:val="615C5D"/>
      <w:sz w:val="20"/>
    </w:rPr>
  </w:style>
  <w:style w:type="character" w:styleId="BodyChar" w:customStyle="1">
    <w:name w:val="Body Char"/>
    <w:link w:val="Body"/>
    <w:locked/>
    <w:rsid w:val="0022507B"/>
    <w:rPr>
      <w:rFonts w:cs="Arial"/>
      <w:lang w:val="en-US"/>
    </w:rPr>
  </w:style>
  <w:style w:type="paragraph" w:styleId="Body" w:customStyle="1">
    <w:name w:val="Body"/>
    <w:link w:val="BodyChar"/>
    <w:rsid w:val="0022507B"/>
    <w:pPr>
      <w:tabs>
        <w:tab w:val="left" w:leader="underscore" w:pos="6237"/>
      </w:tabs>
      <w:spacing w:after="120" w:line="280" w:lineRule="exact"/>
    </w:pPr>
    <w:rPr>
      <w:rFonts w:cs="Arial"/>
      <w:lang w:val="en-US"/>
    </w:rPr>
  </w:style>
  <w:style w:type="paragraph" w:styleId="body0" w:customStyle="1">
    <w:name w:val="body"/>
    <w:basedOn w:val="Normal"/>
    <w:rsid w:val="0022507B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Insertionspace" w:customStyle="1">
    <w:name w:val="Insertion space"/>
    <w:rsid w:val="0022507B"/>
    <w:rPr>
      <w:color w:val="FF0000"/>
    </w:rPr>
  </w:style>
  <w:style w:type="paragraph" w:styleId="Standard" w:customStyle="1">
    <w:name w:val="Standard"/>
    <w:rsid w:val="00986217"/>
    <w:pPr>
      <w:suppressAutoHyphens/>
      <w:autoSpaceDN w:val="0"/>
      <w:spacing w:before="120" w:after="120" w:line="264" w:lineRule="auto"/>
      <w:textAlignment w:val="baseline"/>
    </w:pPr>
    <w:rPr>
      <w:rFonts w:ascii="Verdana" w:hAnsi="Verdana" w:eastAsia="MS Mincho" w:cs="Verdana"/>
      <w:kern w:val="3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E24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2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0EE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ov.uk/government/publications/related-party-transactions-information-for-academy-trusts/managing-conflicts-of-interests-related-party-relationships-and-related-party-transactions-good-practice-guide?utm_source=chatgpt.com" TargetMode="External" Id="rId13" /><Relationship Type="http://schemas.openxmlformats.org/officeDocument/2006/relationships/hyperlink" Target="https://www.theguardian.com/politics/2024/feb/01/overhaul-uk-ministers-ethics-system-cross-party-commission-urges?utm_source=chatgpt.com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gov.uk/guidance/-governance-in-academy-trusts/4-non-executive-leadership?utm_source=chatgpt.co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good-governance.org.uk/publications/insights/the-nolan-principles" TargetMode="External" Id="rId12" /><Relationship Type="http://schemas.openxmlformats.org/officeDocument/2006/relationships/hyperlink" Target="https://www.gov.uk/government/publications/academy-trust-handbook/academy-trust-handbook-2025-effective-from-1-september-2025?utm_source=chatgpt.com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gov.uk/government/publications/academy-trust-handbook/academy-trust-handbook-2025-effective-from-1-september-2025?utm_source=chatgpt.com" TargetMode="External" Id="rId16" /><Relationship Type="http://schemas.openxmlformats.org/officeDocument/2006/relationships/hyperlink" Target="https://www.gov.uk/guidance/-governance-in-academy-trusts/4-non-executive-leadership?utm_source=chatgpt.com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gov.uk/guidance/academy-trust-handbook/part-5-delegated-authorities?utm_source=chatgpt.com" TargetMode="External" Id="rId15" /><Relationship Type="http://schemas.openxmlformats.org/officeDocument/2006/relationships/hyperlink" Target="https://www.good-governance.org.uk/publications/insights/the-nolan-principles?utm_source=chatgpt.com" TargetMode="External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hyperlink" Target="https://www.gov.uk/government/publications/conflicts-of-interest-a-guide-for-charity-trustees-cc29/conflicts-of-interest-a-guide-for-charity-trustees?utm_source=chatgpt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ov.uk/government/publications/conflicts-of-interest-a-guide-for-charity-trustees-cc29/conflicts-of-interest-a-guide-for-charity-trustees?utm_source=chatgpt.com" TargetMode="External" Id="rId14" /><Relationship Type="http://schemas.openxmlformats.org/officeDocument/2006/relationships/hyperlink" Target="https://www.gov.uk/government/publications/academy-trust-handbook/academy-trust-handbook-2025-effective-from-1-september-2025?utm_source=chatgpt.com" TargetMode="External" Id="rId22" /><Relationship Type="http://schemas.openxmlformats.org/officeDocument/2006/relationships/footer" Target="footer2.xml" Id="rId2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c7a64-a252-48aa-b902-ce2b4eb2f725">
      <Terms xmlns="http://schemas.microsoft.com/office/infopath/2007/PartnerControls"/>
    </lcf76f155ced4ddcb4097134ff3c332f>
    <TaxCatchAll xmlns="9cd02c4d-6c55-4487-9a06-524a91d6fa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D88FD4810A74CA5E2E79B717EE419" ma:contentTypeVersion="14" ma:contentTypeDescription="Create a new document." ma:contentTypeScope="" ma:versionID="b29f97801b5d79f9c6460538977de8ed">
  <xsd:schema xmlns:xsd="http://www.w3.org/2001/XMLSchema" xmlns:xs="http://www.w3.org/2001/XMLSchema" xmlns:p="http://schemas.microsoft.com/office/2006/metadata/properties" xmlns:ns2="fdbc7a64-a252-48aa-b902-ce2b4eb2f725" xmlns:ns3="9cd02c4d-6c55-4487-9a06-524a91d6fae8" targetNamespace="http://schemas.microsoft.com/office/2006/metadata/properties" ma:root="true" ma:fieldsID="abf45727ff9dc8d5c83c2568e46fd13c" ns2:_="" ns3:_="">
    <xsd:import namespace="fdbc7a64-a252-48aa-b902-ce2b4eb2f725"/>
    <xsd:import namespace="9cd02c4d-6c55-4487-9a06-524a91d6f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a64-a252-48aa-b902-ce2b4eb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cae0aa-4a62-41ca-8ed3-fdb650d05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02c4d-6c55-4487-9a06-524a91d6f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4d7e8d-b84b-4801-a91f-b87e956fcd69}" ma:internalName="TaxCatchAll" ma:showField="CatchAllData" ma:web="9cd02c4d-6c55-4487-9a06-524a91d6f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494A-F8A4-4B9A-B56D-33654E1BD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EA9C-3A57-482E-8BC1-A9097AE4C2F7}">
  <ds:schemaRefs>
    <ds:schemaRef ds:uri="http://schemas.microsoft.com/office/2006/metadata/properties"/>
    <ds:schemaRef ds:uri="http://schemas.microsoft.com/office/infopath/2007/PartnerControls"/>
    <ds:schemaRef ds:uri="c1f08d81-1b6e-408e-98fe-23a054f3b47e"/>
    <ds:schemaRef ds:uri="86541900-0ce3-4a91-b908-0704fc6ad965"/>
  </ds:schemaRefs>
</ds:datastoreItem>
</file>

<file path=customXml/itemProps3.xml><?xml version="1.0" encoding="utf-8"?>
<ds:datastoreItem xmlns:ds="http://schemas.openxmlformats.org/officeDocument/2006/customXml" ds:itemID="{856C4E61-EDE3-494B-878C-DB83865E307E}"/>
</file>

<file path=customXml/itemProps4.xml><?xml version="1.0" encoding="utf-8"?>
<ds:datastoreItem xmlns:ds="http://schemas.openxmlformats.org/officeDocument/2006/customXml" ds:itemID="{3ADDE449-F1FA-4A68-BC90-146B1B1010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Morris</dc:creator>
  <keywords/>
  <dc:description/>
  <lastModifiedBy>Laura Withington - T.L</lastModifiedBy>
  <revision>3</revision>
  <dcterms:created xsi:type="dcterms:W3CDTF">2025-08-18T13:50:00.0000000Z</dcterms:created>
  <dcterms:modified xsi:type="dcterms:W3CDTF">2025-08-27T10:41:09.0617004Z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0x010100070D88FD4810A74CA5E2E79B717EE419</vt:lpwstr>
  </property>
  <property fmtid="{D5CDD505-2E9C-101B-9397-08002B2CF9AE}" pid="3" name="MediaServiceImageTags">
    <vt:lpwstr/>
  </property>
</Properties>
</file>